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r>
        <w:t xml:space="preserve">(Projet2 selon version mai 2019 – </w:t>
      </w:r>
      <w:r>
        <w:rPr>
          <w:rStyle w:val="modif"/>
        </w:rPr>
        <w:t>15 avril 2024 12h</w:t>
      </w:r>
      <w:r>
        <w:t xml:space="preserve">) </w:t>
      </w:r>
      <w:r>
        <w:br/>
        <w:t xml:space="preserve">Le style </w:t>
      </w:r>
      <w:proofErr w:type="spellStart"/>
      <w:r>
        <w:rPr>
          <w:rStyle w:val="modif"/>
        </w:rPr>
        <w:t>modif</w:t>
      </w:r>
      <w:proofErr w:type="spellEnd"/>
      <w:r>
        <w:t xml:space="preserve"> est proposé pour les corrections. Utiliser </w:t>
      </w:r>
      <w:r>
        <w:rPr>
          <w:strike/>
        </w:rPr>
        <w:t>barré pour les suppressions.</w:t>
      </w:r>
    </w:p>
    <w:p>
      <w:pPr>
        <w:jc w:val="center"/>
      </w:pPr>
    </w:p>
    <w:p>
      <w:pPr>
        <w:rPr>
          <w:rStyle w:val="modif"/>
        </w:rPr>
      </w:pPr>
      <w:r>
        <w:t xml:space="preserve">Dans ce document, est désignée comme membre la personne physique ou morale à jour de sa cotisation pour l’année en cours. </w:t>
      </w:r>
      <w:r>
        <w:rPr>
          <w:rStyle w:val="modif"/>
        </w:rPr>
        <w:t>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64074842" w:history="1">
            <w:r>
              <w:rPr>
                <w:rStyle w:val="Lienhypertexte"/>
                <w:noProof/>
              </w:rPr>
              <w:t>1 ASSEMBLÉES GÉNÉRALES</w:t>
            </w:r>
            <w:r>
              <w:rPr>
                <w:noProof/>
                <w:webHidden/>
              </w:rPr>
              <w:tab/>
            </w:r>
            <w:r>
              <w:rPr>
                <w:noProof/>
                <w:webHidden/>
              </w:rPr>
              <w:fldChar w:fldCharType="begin"/>
            </w:r>
            <w:r>
              <w:rPr>
                <w:noProof/>
                <w:webHidden/>
              </w:rPr>
              <w:instrText xml:space="preserve"> PAGEREF _Toc164074842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43" w:history="1">
            <w:r>
              <w:rPr>
                <w:rStyle w:val="Lienhypertexte"/>
                <w:noProof/>
              </w:rPr>
              <w:t>1.1</w:t>
            </w:r>
            <w:r>
              <w:rPr>
                <w:rFonts w:asciiTheme="minorHAnsi" w:eastAsiaTheme="minorEastAsia" w:hAnsiTheme="minorHAnsi" w:cstheme="minorBidi"/>
                <w:noProof/>
                <w:sz w:val="22"/>
                <w:szCs w:val="22"/>
              </w:rPr>
              <w:tab/>
            </w:r>
            <w:r>
              <w:rPr>
                <w:rStyle w:val="Lienhypertexte"/>
                <w:noProof/>
              </w:rPr>
              <w:t>Extrait des statuts (mars 2022)</w:t>
            </w:r>
            <w:r>
              <w:rPr>
                <w:noProof/>
                <w:webHidden/>
              </w:rPr>
              <w:tab/>
            </w:r>
            <w:r>
              <w:rPr>
                <w:noProof/>
                <w:webHidden/>
              </w:rPr>
              <w:fldChar w:fldCharType="begin"/>
            </w:r>
            <w:r>
              <w:rPr>
                <w:noProof/>
                <w:webHidden/>
              </w:rPr>
              <w:instrText xml:space="preserve"> PAGEREF _Toc164074843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44" w:history="1">
            <w:r>
              <w:rPr>
                <w:rStyle w:val="Lienhypertexte"/>
                <w:noProof/>
              </w:rPr>
              <w:t>1.2</w:t>
            </w:r>
            <w:r>
              <w:rPr>
                <w:rFonts w:asciiTheme="minorHAnsi" w:eastAsiaTheme="minorEastAsia" w:hAnsiTheme="minorHAnsi" w:cstheme="minorBidi"/>
                <w:noProof/>
                <w:sz w:val="22"/>
                <w:szCs w:val="22"/>
              </w:rPr>
              <w:tab/>
            </w:r>
            <w:r>
              <w:rPr>
                <w:rStyle w:val="Lienhypertexte"/>
                <w:noProof/>
              </w:rPr>
              <w:t>Participants.</w:t>
            </w:r>
            <w:r>
              <w:rPr>
                <w:noProof/>
                <w:webHidden/>
              </w:rPr>
              <w:tab/>
            </w:r>
            <w:r>
              <w:rPr>
                <w:noProof/>
                <w:webHidden/>
              </w:rPr>
              <w:fldChar w:fldCharType="begin"/>
            </w:r>
            <w:r>
              <w:rPr>
                <w:noProof/>
                <w:webHidden/>
              </w:rPr>
              <w:instrText xml:space="preserve"> PAGEREF _Toc164074844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45" w:history="1">
            <w:r>
              <w:rPr>
                <w:rStyle w:val="Lienhypertexte"/>
                <w:noProof/>
              </w:rPr>
              <w:t>1.3</w:t>
            </w:r>
            <w:r>
              <w:rPr>
                <w:rFonts w:asciiTheme="minorHAnsi" w:eastAsiaTheme="minorEastAsia" w:hAnsiTheme="minorHAnsi" w:cstheme="minorBidi"/>
                <w:noProof/>
                <w:sz w:val="22"/>
                <w:szCs w:val="22"/>
              </w:rPr>
              <w:tab/>
            </w:r>
            <w:r>
              <w:rPr>
                <w:rStyle w:val="Lienhypertexte"/>
                <w:noProof/>
              </w:rPr>
              <w:t>Votes et élections des membres du bureau :</w:t>
            </w:r>
            <w:r>
              <w:rPr>
                <w:noProof/>
                <w:webHidden/>
              </w:rPr>
              <w:tab/>
            </w:r>
            <w:r>
              <w:rPr>
                <w:noProof/>
                <w:webHidden/>
              </w:rPr>
              <w:fldChar w:fldCharType="begin"/>
            </w:r>
            <w:r>
              <w:rPr>
                <w:noProof/>
                <w:webHidden/>
              </w:rPr>
              <w:instrText xml:space="preserve"> PAGEREF _Toc164074845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074846" w:history="1">
            <w:r>
              <w:rPr>
                <w:rStyle w:val="Lienhypertexte"/>
                <w:noProof/>
              </w:rPr>
              <w:t>Vote par procuration (pouvoirs) :</w:t>
            </w:r>
            <w:r>
              <w:rPr>
                <w:noProof/>
                <w:webHidden/>
              </w:rPr>
              <w:tab/>
            </w:r>
            <w:r>
              <w:rPr>
                <w:noProof/>
                <w:webHidden/>
              </w:rPr>
              <w:fldChar w:fldCharType="begin"/>
            </w:r>
            <w:r>
              <w:rPr>
                <w:noProof/>
                <w:webHidden/>
              </w:rPr>
              <w:instrText xml:space="preserve"> PAGEREF _Toc164074846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074847" w:history="1">
            <w:r>
              <w:rPr>
                <w:rStyle w:val="Lienhypertexte"/>
                <w:noProof/>
              </w:rPr>
              <w:t>Rapport financier :</w:t>
            </w:r>
            <w:r>
              <w:rPr>
                <w:noProof/>
                <w:webHidden/>
              </w:rPr>
              <w:tab/>
            </w:r>
            <w:r>
              <w:rPr>
                <w:noProof/>
                <w:webHidden/>
              </w:rPr>
              <w:fldChar w:fldCharType="begin"/>
            </w:r>
            <w:r>
              <w:rPr>
                <w:noProof/>
                <w:webHidden/>
              </w:rPr>
              <w:instrText xml:space="preserve"> PAGEREF _Toc164074847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074848" w:history="1">
            <w:r>
              <w:rPr>
                <w:rStyle w:val="Lienhypertexte"/>
                <w:noProof/>
              </w:rPr>
              <w:t>Vérificateurs aux comptes</w:t>
            </w:r>
            <w:r>
              <w:rPr>
                <w:noProof/>
                <w:webHidden/>
              </w:rPr>
              <w:tab/>
            </w:r>
            <w:r>
              <w:rPr>
                <w:noProof/>
                <w:webHidden/>
              </w:rPr>
              <w:fldChar w:fldCharType="begin"/>
            </w:r>
            <w:r>
              <w:rPr>
                <w:noProof/>
                <w:webHidden/>
              </w:rPr>
              <w:instrText xml:space="preserve"> PAGEREF _Toc164074848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4074849" w:history="1">
            <w:r>
              <w:rPr>
                <w:rStyle w:val="Lienhypertexte"/>
                <w:noProof/>
              </w:rPr>
              <w:t>2 ORGANISATION DE MANIFESTATIONS</w:t>
            </w:r>
            <w:r>
              <w:rPr>
                <w:noProof/>
                <w:webHidden/>
              </w:rPr>
              <w:tab/>
            </w:r>
            <w:r>
              <w:rPr>
                <w:noProof/>
                <w:webHidden/>
              </w:rPr>
              <w:fldChar w:fldCharType="begin"/>
            </w:r>
            <w:r>
              <w:rPr>
                <w:noProof/>
                <w:webHidden/>
              </w:rPr>
              <w:instrText xml:space="preserve"> PAGEREF _Toc164074849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50" w:history="1">
            <w:r>
              <w:rPr>
                <w:rStyle w:val="Lienhypertexte"/>
                <w:noProof/>
              </w:rPr>
              <w:t>2.1</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_Toc164074850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51" w:history="1">
            <w:r>
              <w:rPr>
                <w:rStyle w:val="Lienhypertexte"/>
                <w:noProof/>
              </w:rPr>
              <w:t>2.2</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_Toc164074851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4074852" w:history="1">
            <w:r>
              <w:rPr>
                <w:rStyle w:val="Lienhypertexte"/>
                <w:noProof/>
              </w:rPr>
              <w:t>3 BOUTIQUE</w:t>
            </w:r>
            <w:r>
              <w:rPr>
                <w:noProof/>
                <w:webHidden/>
              </w:rPr>
              <w:tab/>
            </w:r>
            <w:r>
              <w:rPr>
                <w:noProof/>
                <w:webHidden/>
              </w:rPr>
              <w:fldChar w:fldCharType="begin"/>
            </w:r>
            <w:r>
              <w:rPr>
                <w:noProof/>
                <w:webHidden/>
              </w:rPr>
              <w:instrText xml:space="preserve"> PAGEREF _Toc164074852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53" w:history="1">
            <w:r>
              <w:rPr>
                <w:rStyle w:val="Lienhypertexte"/>
                <w:noProof/>
              </w:rPr>
              <w:t>3.1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_Toc164074853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54" w:history="1">
            <w:r>
              <w:rPr>
                <w:rStyle w:val="Lienhypertexte"/>
                <w:noProof/>
              </w:rPr>
              <w:t>3.2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_Toc164074854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55" w:history="1">
            <w:r>
              <w:rPr>
                <w:rStyle w:val="Lienhypertexte"/>
                <w:noProof/>
              </w:rPr>
              <w:t>3.3</w:t>
            </w:r>
            <w:r>
              <w:rPr>
                <w:rFonts w:asciiTheme="minorHAnsi" w:eastAsiaTheme="minorEastAsia" w:hAnsiTheme="minorHAnsi" w:cstheme="minorBidi"/>
                <w:noProof/>
                <w:sz w:val="22"/>
                <w:szCs w:val="22"/>
              </w:rPr>
              <w:tab/>
            </w:r>
            <w:r>
              <w:rPr>
                <w:rStyle w:val="Lienhypertexte"/>
                <w:noProof/>
              </w:rPr>
              <w:t>Le gérant de la boutique</w:t>
            </w:r>
            <w:r>
              <w:rPr>
                <w:noProof/>
                <w:webHidden/>
              </w:rPr>
              <w:tab/>
            </w:r>
            <w:r>
              <w:rPr>
                <w:noProof/>
                <w:webHidden/>
              </w:rPr>
              <w:fldChar w:fldCharType="begin"/>
            </w:r>
            <w:r>
              <w:rPr>
                <w:noProof/>
                <w:webHidden/>
              </w:rPr>
              <w:instrText xml:space="preserve"> PAGEREF _Toc164074855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56" w:history="1">
            <w:r>
              <w:rPr>
                <w:rStyle w:val="Lienhypertexte"/>
                <w:noProof/>
              </w:rPr>
              <w:t>3.4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_Toc164074856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4074857" w:history="1">
            <w:r>
              <w:rPr>
                <w:rStyle w:val="Lienhypertexte"/>
                <w:noProof/>
              </w:rPr>
              <w:t>4 INDEMNISATION DES FRAIS</w:t>
            </w:r>
            <w:r>
              <w:rPr>
                <w:noProof/>
                <w:webHidden/>
              </w:rPr>
              <w:tab/>
            </w:r>
            <w:r>
              <w:rPr>
                <w:noProof/>
                <w:webHidden/>
              </w:rPr>
              <w:fldChar w:fldCharType="begin"/>
            </w:r>
            <w:r>
              <w:rPr>
                <w:noProof/>
                <w:webHidden/>
              </w:rPr>
              <w:instrText xml:space="preserve"> PAGEREF _Toc164074857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58" w:history="1">
            <w:r>
              <w:rPr>
                <w:rStyle w:val="Lienhypertexte"/>
                <w:noProof/>
              </w:rPr>
              <w:t>4.1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_Toc164074858 \h </w:instrText>
            </w:r>
            <w:r>
              <w:rPr>
                <w:noProof/>
                <w:webHidden/>
              </w:rPr>
            </w:r>
            <w:r>
              <w:rPr>
                <w:noProof/>
                <w:webHidden/>
              </w:rPr>
              <w:fldChar w:fldCharType="separate"/>
            </w:r>
            <w:r>
              <w:rPr>
                <w:noProof/>
                <w:webHidden/>
              </w:rPr>
              <w:t>3</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074859" w:history="1">
            <w:r>
              <w:rPr>
                <w:rStyle w:val="Lienhypertexte"/>
                <w:noProof/>
              </w:rPr>
              <w:t>CONTRIBUTION VOLONTAIRE</w:t>
            </w:r>
            <w:r>
              <w:rPr>
                <w:noProof/>
                <w:webHidden/>
              </w:rPr>
              <w:tab/>
            </w:r>
            <w:r>
              <w:rPr>
                <w:noProof/>
                <w:webHidden/>
              </w:rPr>
              <w:fldChar w:fldCharType="begin"/>
            </w:r>
            <w:r>
              <w:rPr>
                <w:noProof/>
                <w:webHidden/>
              </w:rPr>
              <w:instrText xml:space="preserve"> PAGEREF _Toc164074859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60" w:history="1">
            <w:r>
              <w:rPr>
                <w:rStyle w:val="Lienhypertexte"/>
                <w:noProof/>
              </w:rPr>
              <w:t>4.2</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_Toc164074860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074861"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_Toc164074861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074862"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_Toc164074862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074863"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_Toc164074863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64" w:history="1">
            <w:r>
              <w:rPr>
                <w:rStyle w:val="Lienhypertexte"/>
                <w:noProof/>
              </w:rPr>
              <w:t>4.3</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_Toc164074864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074865" w:history="1">
            <w:r>
              <w:rPr>
                <w:rStyle w:val="Lienhypertexte"/>
                <w:noProof/>
              </w:rPr>
              <w:t>4.4</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_Toc164074865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074866" w:history="1">
            <w:r>
              <w:rPr>
                <w:rStyle w:val="Lienhypertexte"/>
                <w:noProof/>
              </w:rPr>
              <w:t>A - LA NOTE DE FRAIS</w:t>
            </w:r>
            <w:r>
              <w:rPr>
                <w:noProof/>
                <w:webHidden/>
              </w:rPr>
              <w:tab/>
            </w:r>
            <w:r>
              <w:rPr>
                <w:noProof/>
                <w:webHidden/>
              </w:rPr>
              <w:fldChar w:fldCharType="begin"/>
            </w:r>
            <w:r>
              <w:rPr>
                <w:noProof/>
                <w:webHidden/>
              </w:rPr>
              <w:instrText xml:space="preserve"> PAGEREF _Toc164074866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074867"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_Toc164074867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074868" w:history="1">
            <w:r>
              <w:rPr>
                <w:rStyle w:val="Lienhypertexte"/>
                <w:noProof/>
              </w:rPr>
              <w:t>C - CONTRIBUTION VOLONTAIRE</w:t>
            </w:r>
            <w:r>
              <w:rPr>
                <w:noProof/>
                <w:webHidden/>
              </w:rPr>
              <w:tab/>
            </w:r>
            <w:r>
              <w:rPr>
                <w:noProof/>
                <w:webHidden/>
              </w:rPr>
              <w:fldChar w:fldCharType="begin"/>
            </w:r>
            <w:r>
              <w:rPr>
                <w:noProof/>
                <w:webHidden/>
              </w:rPr>
              <w:instrText xml:space="preserve"> PAGEREF _Toc164074868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pPr>
        <w:suppressAutoHyphens w:val="0"/>
        <w:spacing w:before="0"/>
        <w:jc w:val="right"/>
      </w:pPr>
    </w:p>
    <w:p>
      <w:pPr>
        <w:suppressAutoHyphens w:val="0"/>
        <w:spacing w:before="0"/>
        <w:jc w:val="right"/>
      </w:pPr>
      <w:r>
        <w:t>Projet au 15 avril 2024</w:t>
      </w:r>
    </w:p>
    <w:p>
      <w:pPr>
        <w:suppressAutoHyphens w:val="0"/>
        <w:spacing w:before="0"/>
        <w:jc w:val="right"/>
      </w:pPr>
      <w:r>
        <w:t>Pour le bureau, le secrétaire, Bruno Delahaye</w:t>
      </w:r>
    </w:p>
    <w:p>
      <w:r>
        <w:br w:type="page"/>
      </w:r>
      <w:bookmarkStart w:id="0" w:name="_GoBack"/>
      <w:bookmarkEnd w:id="0"/>
    </w:p>
    <w:p>
      <w:pPr>
        <w:pStyle w:val="Titre1"/>
      </w:pPr>
      <w:bookmarkStart w:id="1" w:name="_Toc164074842"/>
      <w:r>
        <w:lastRenderedPageBreak/>
        <w:t>ASSEMBLÉES GÉNÉRALES</w:t>
      </w:r>
      <w:bookmarkEnd w:id="1"/>
      <w:r>
        <w:t xml:space="preserve"> </w:t>
      </w:r>
    </w:p>
    <w:p>
      <w:pPr>
        <w:pStyle w:val="Titre2"/>
      </w:pPr>
      <w:bookmarkStart w:id="2" w:name="_Toc164074843"/>
      <w:r>
        <w:t>Extrait des statuts (mars 2022)</w:t>
      </w:r>
      <w:bookmarkEnd w:id="2"/>
    </w:p>
    <w:p>
      <w:pPr>
        <w:pStyle w:val="Texte2"/>
        <w:rPr>
          <w:rStyle w:val="modif"/>
        </w:rPr>
      </w:pPr>
      <w:r>
        <w:rPr>
          <w:rStyle w:val="modif"/>
        </w:rPr>
        <w:t xml:space="preserve">L’Assemblée Générale se réunit réglementairement tous les ans, en présentiel ou en distanciel. </w:t>
      </w:r>
    </w:p>
    <w:p>
      <w:pPr>
        <w:pStyle w:val="Texte2"/>
        <w:rPr>
          <w:rStyle w:val="modif"/>
        </w:rPr>
      </w:pPr>
      <w:r>
        <w:rPr>
          <w:rStyle w:val="modif"/>
        </w:rPr>
        <w:t>Elle ne délibère valablement que si au moins 50 membres sont présents ou représentés, un membre présent pouvant représenter jusqu’à cinq autres membres.</w:t>
      </w:r>
    </w:p>
    <w:p>
      <w:pPr>
        <w:pStyle w:val="Texte2"/>
        <w:rPr>
          <w:rStyle w:val="modif"/>
        </w:rPr>
      </w:pPr>
      <w:r>
        <w:rPr>
          <w:rStyle w:val="modif"/>
        </w:rPr>
        <w:t xml:space="preserve">Elle donne son avis sur les rapports et projets présentés par le Bureau et les valide par votes. </w:t>
      </w:r>
    </w:p>
    <w:p>
      <w:pPr>
        <w:pStyle w:val="Texte2"/>
        <w:rPr>
          <w:rStyle w:val="modif"/>
        </w:rPr>
      </w:pPr>
      <w:r>
        <w:rPr>
          <w:rStyle w:val="modif"/>
          <w:i w:val="0"/>
          <w:color w:val="auto"/>
        </w:rPr>
        <w:t xml:space="preserve">…/… </w:t>
      </w:r>
      <w:r>
        <w:rPr>
          <w:rStyle w:val="modif"/>
        </w:rPr>
        <w:t xml:space="preserve">L’AG CDZ peut modifier le </w:t>
      </w:r>
      <w:r>
        <w:rPr>
          <w:rStyle w:val="modif"/>
          <w:b/>
        </w:rPr>
        <w:t>Règlement Intérieur édicté par le Bureau</w:t>
      </w:r>
      <w:r>
        <w:rPr>
          <w:rStyle w:val="modif"/>
        </w:rPr>
        <w:t xml:space="preserve"> à la majorité des deux tiers des membres présents ou représentés.</w:t>
      </w:r>
    </w:p>
    <w:p>
      <w:pPr>
        <w:pStyle w:val="Texte2"/>
        <w:ind w:left="708"/>
        <w:rPr>
          <w:rStyle w:val="modif"/>
        </w:rPr>
      </w:pPr>
      <w:r>
        <w:rPr>
          <w:rStyle w:val="modif"/>
        </w:rPr>
        <w:t>…/… T</w:t>
      </w:r>
      <w:r>
        <w:rPr>
          <w:rStyle w:val="modif"/>
        </w:rPr>
        <w:t xml:space="preserve">oute demande </w:t>
      </w:r>
      <w:r>
        <w:rPr>
          <w:rStyle w:val="modif"/>
          <w:b/>
        </w:rPr>
        <w:t>d’adhésion implique une acceptation complète des statuts et règlements</w:t>
      </w:r>
      <w:r>
        <w:rPr>
          <w:rStyle w:val="modif"/>
        </w:rPr>
        <w:t xml:space="preserve"> de l’association. Les admissions sont validées par le Bureau.)</w:t>
      </w:r>
    </w:p>
    <w:p>
      <w:pPr>
        <w:pStyle w:val="Titre2"/>
      </w:pPr>
      <w:bookmarkStart w:id="3" w:name="_Toc164074844"/>
      <w:r>
        <w:t>Participants.</w:t>
      </w:r>
      <w:bookmarkEnd w:id="3"/>
      <w:r>
        <w:t xml:space="preserve"> </w:t>
      </w:r>
    </w:p>
    <w:p>
      <w:pPr>
        <w:pStyle w:val="Texte2"/>
      </w:pPr>
      <w:r>
        <w:t xml:space="preserve">Seuls sont admis à participer aux Assemblées Générales les membres du Cercle du Zéro. </w:t>
      </w:r>
    </w:p>
    <w:p>
      <w:pPr>
        <w:pStyle w:val="Texte2"/>
      </w:pPr>
      <w:r>
        <w:t xml:space="preserve">Les «non membres» ne peuvent participer sauf sur invitation du Bureau. </w:t>
      </w:r>
    </w:p>
    <w:p>
      <w:pPr>
        <w:pStyle w:val="Texte2"/>
        <w:rPr>
          <w:rStyle w:val="modif"/>
        </w:rPr>
      </w:pPr>
      <w:r>
        <w:t xml:space="preserve">La cotisation peut être réglée avant l’ouverture des débats. </w:t>
      </w:r>
    </w:p>
    <w:p>
      <w:pPr>
        <w:pStyle w:val="Titre2"/>
      </w:pPr>
      <w:bookmarkStart w:id="4" w:name="_Toc164074845"/>
      <w:r>
        <w:t>Votes et élections des membres du bureau :</w:t>
      </w:r>
      <w:bookmarkEnd w:id="4"/>
      <w:r>
        <w:t xml:space="preserve"> </w:t>
      </w:r>
    </w:p>
    <w:p>
      <w:pPr>
        <w:pStyle w:val="Texte2"/>
      </w:pPr>
      <w:r>
        <w:t xml:space="preserve">Tous les membres sont électeurs. </w:t>
      </w:r>
    </w:p>
    <w:p>
      <w:pPr>
        <w:pStyle w:val="Texte2"/>
        <w:rPr>
          <w:i/>
          <w:strike/>
        </w:rPr>
      </w:pPr>
      <w:r>
        <w:rPr>
          <w:rStyle w:val="modif"/>
        </w:rPr>
        <w:t>Selon les statuts, les adhérents peuvent voter à bulletin secret en présentiel lors de l’Assemblée Générale, par correspondance, par délégation, par voie électronique.</w:t>
      </w:r>
    </w:p>
    <w:p>
      <w:pPr>
        <w:pStyle w:val="Texte2"/>
      </w:pPr>
      <w:r>
        <w:rPr>
          <w:rStyle w:val="modif"/>
        </w:rPr>
        <w:t>Les statuts précisent que</w:t>
      </w:r>
      <w:r>
        <w:t xml:space="preserve"> sont éligibles au bureau les membres ayant plus de deux ans consécutifs </w:t>
      </w:r>
      <w:r>
        <w:rPr>
          <w:rStyle w:val="modif"/>
        </w:rPr>
        <w:t>de cotisation</w:t>
      </w:r>
      <w:r>
        <w:t xml:space="preserve">. </w:t>
      </w:r>
    </w:p>
    <w:p>
      <w:pPr>
        <w:pStyle w:val="Titre3"/>
      </w:pPr>
      <w:bookmarkStart w:id="5" w:name="_Toc164074846"/>
      <w:r>
        <w:t>Vote par procuration (pouvoirs) :</w:t>
      </w:r>
      <w:bookmarkEnd w:id="5"/>
      <w:r>
        <w:t xml:space="preserve"> </w:t>
      </w:r>
    </w:p>
    <w:p>
      <w:pPr>
        <w:pStyle w:val="Texte3"/>
      </w:pPr>
      <w:r>
        <w:t xml:space="preserve">Un membre ne peut représenter que cinq pouvoirs. </w:t>
      </w:r>
    </w:p>
    <w:p>
      <w:pPr>
        <w:pStyle w:val="Texte3"/>
      </w:pPr>
      <w:r>
        <w:t xml:space="preserve">Les pouvoirs «en blanc» seront répartis </w:t>
      </w:r>
      <w:r>
        <w:rPr>
          <w:rStyle w:val="modif"/>
        </w:rPr>
        <w:t>par tirage au sort</w:t>
      </w:r>
      <w:r>
        <w:t xml:space="preserve"> entre les membres présents à l’AG.</w:t>
      </w:r>
    </w:p>
    <w:p>
      <w:pPr>
        <w:pStyle w:val="Titre3"/>
      </w:pPr>
      <w:bookmarkStart w:id="6" w:name="_Toc164074847"/>
      <w:r>
        <w:t>Rapport financier :</w:t>
      </w:r>
      <w:bookmarkEnd w:id="6"/>
      <w:r>
        <w:t xml:space="preserve"> </w:t>
      </w:r>
    </w:p>
    <w:p>
      <w:pPr>
        <w:pStyle w:val="Texte3"/>
      </w:pPr>
      <w:r>
        <w:t xml:space="preserve">Le rapport concernant la vérification des comptes de l’année écoulée sera lu avant que le quitus ne soit donné au </w:t>
      </w:r>
      <w:r>
        <w:rPr>
          <w:rStyle w:val="modif"/>
        </w:rPr>
        <w:t>trésorier.</w:t>
      </w:r>
      <w:r>
        <w:t xml:space="preserve"> Ce document sera annexé au </w:t>
      </w:r>
      <w:r>
        <w:rPr>
          <w:rStyle w:val="modif"/>
        </w:rPr>
        <w:t>procès-verbal</w:t>
      </w:r>
      <w:r>
        <w:t xml:space="preserve"> de l’Assemblée Générale. </w:t>
      </w:r>
    </w:p>
    <w:p>
      <w:pPr>
        <w:pStyle w:val="Titre3"/>
      </w:pPr>
      <w:bookmarkStart w:id="7" w:name="_Toc164074848"/>
      <w:r>
        <w:t>Vérificateurs aux comptes</w:t>
      </w:r>
      <w:bookmarkEnd w:id="7"/>
      <w:r>
        <w:t xml:space="preserve"> </w:t>
      </w:r>
    </w:p>
    <w:p>
      <w:pPr>
        <w:pStyle w:val="Texte3"/>
      </w:pPr>
      <w:r>
        <w:t xml:space="preserve">Pour l’exercice suivant, un ou plusieurs vérificateurs aux comptes seront </w:t>
      </w:r>
      <w:r>
        <w:rPr>
          <w:rStyle w:val="modif"/>
        </w:rPr>
        <w:t>nommés</w:t>
      </w:r>
      <w:r>
        <w:t xml:space="preserve"> par l’Assemblée Générale, s’ils sont connus à la date de l’AG. </w:t>
      </w:r>
    </w:p>
    <w:p>
      <w:pPr>
        <w:pStyle w:val="Texte3"/>
      </w:pPr>
      <w:r>
        <w:t xml:space="preserve">Sinon, un vérificateur sera recherché par le Conseil d’Administration et présenté aux adhérents au moins un mois avant la clôture de l’exercice financier. </w:t>
      </w:r>
    </w:p>
    <w:p>
      <w:pPr>
        <w:pStyle w:val="Titre1"/>
      </w:pPr>
      <w:bookmarkStart w:id="8" w:name="_Toc164074849"/>
      <w:r>
        <w:t>ORGANISATION DE MANIFESTATIONS</w:t>
      </w:r>
      <w:bookmarkEnd w:id="8"/>
      <w:r>
        <w:t xml:space="preserve"> </w:t>
      </w:r>
    </w:p>
    <w:p>
      <w:pPr>
        <w:pStyle w:val="Titre2"/>
      </w:pPr>
      <w:bookmarkStart w:id="9" w:name="_Toc164074850"/>
      <w:r>
        <w:t>Organisation de manifestation par un adhérent</w:t>
      </w:r>
      <w:bookmarkEnd w:id="9"/>
      <w:r>
        <w:t xml:space="preserve"> </w:t>
      </w:r>
    </w:p>
    <w:p>
      <w:pPr>
        <w:pStyle w:val="Texte2"/>
      </w:pPr>
      <w:r>
        <w:rPr>
          <w:rStyle w:val="modif"/>
        </w:rPr>
        <w:t>Un</w:t>
      </w:r>
      <w:r>
        <w:t xml:space="preserve"> membre ne peut organiser une manifestation au nom du Cercle du Zéro sans l’accord du bureau. Un projet et un budget prévisionnel seront </w:t>
      </w:r>
      <w:r>
        <w:rPr>
          <w:rStyle w:val="modif"/>
        </w:rPr>
        <w:t>présentés</w:t>
      </w:r>
      <w:r>
        <w:t xml:space="preserve"> au préalable. </w:t>
      </w:r>
    </w:p>
    <w:p>
      <w:pPr>
        <w:pStyle w:val="Texte2"/>
      </w:pPr>
      <w:r>
        <w:t xml:space="preserve">Au minimum deux semaines avant la date retenue, le Président devra être informé des lieux, dates, nombre et qualités des exposants afin de faire une déclaration à notre assurance. </w:t>
      </w:r>
    </w:p>
    <w:p>
      <w:pPr>
        <w:pStyle w:val="Texte2"/>
      </w:pPr>
      <w:r>
        <w:t xml:space="preserve">En cas d’entrées payantes, chaque visiteur recevra un ticket portant le tampon du Cercle ainsi que la date. L’organisateur devra garder les souches. </w:t>
      </w:r>
    </w:p>
    <w:p>
      <w:pPr>
        <w:pStyle w:val="Texte2"/>
      </w:pPr>
      <w:r>
        <w:t xml:space="preserve">Toutes les factures seront libellées au nom du Cercle du Zéro. </w:t>
      </w:r>
    </w:p>
    <w:p>
      <w:pPr>
        <w:pStyle w:val="Titre2"/>
      </w:pPr>
      <w:bookmarkStart w:id="10" w:name="_Toc164074851"/>
      <w:r>
        <w:t>Représentation lors de manifestations</w:t>
      </w:r>
      <w:bookmarkEnd w:id="10"/>
      <w:r>
        <w:t xml:space="preserve"> </w:t>
      </w:r>
    </w:p>
    <w:p>
      <w:pPr>
        <w:pStyle w:val="Texte2"/>
      </w:pPr>
      <w:r>
        <w:t>Sur demande, le Cercle du Zéro peut mettre à disposition des membres une signalétique type ou personnalisée. Seuls les visuels approuvés par le Bureau peuvent être utilisés.</w:t>
      </w:r>
    </w:p>
    <w:p>
      <w:pPr>
        <w:suppressAutoHyphens w:val="0"/>
        <w:spacing w:before="0"/>
        <w:jc w:val="left"/>
      </w:pPr>
      <w:r>
        <w:br w:type="page"/>
      </w:r>
    </w:p>
    <w:p>
      <w:pPr>
        <w:pStyle w:val="Titre1"/>
      </w:pPr>
      <w:bookmarkStart w:id="11" w:name="_Toc164074852"/>
      <w:r>
        <w:lastRenderedPageBreak/>
        <w:t>BOUTIQUE</w:t>
      </w:r>
      <w:bookmarkEnd w:id="11"/>
      <w:r>
        <w:t xml:space="preserve"> </w:t>
      </w:r>
    </w:p>
    <w:p>
      <w:pPr>
        <w:pStyle w:val="Titre2"/>
      </w:pPr>
      <w:bookmarkStart w:id="12" w:name="_Toc164074853"/>
      <w:r>
        <w:t>But de la boutique CDZ</w:t>
      </w:r>
      <w:bookmarkEnd w:id="12"/>
    </w:p>
    <w:p>
      <w:pPr>
        <w:pStyle w:val="Texte2"/>
      </w:pPr>
      <w:r>
        <w:t xml:space="preserve">La boutique met à disposition des fournitures et outillages en rapport avec l’activité du Cercle. Ces fournitures concernent des produits achetés en quantité, ou introuvables dans le commerce. </w:t>
      </w:r>
    </w:p>
    <w:p>
      <w:pPr>
        <w:pStyle w:val="Texte2"/>
      </w:pPr>
      <w:r>
        <w:t xml:space="preserve">Elle peut exceptionnellement proposer des reliquats de projets communs ou gérer un achat commun. </w:t>
      </w:r>
    </w:p>
    <w:p>
      <w:pPr>
        <w:pStyle w:val="Titre2"/>
      </w:pPr>
      <w:bookmarkStart w:id="13" w:name="_Toc164074854"/>
      <w:r>
        <w:t>Qui peut acheter ?</w:t>
      </w:r>
      <w:bookmarkEnd w:id="13"/>
    </w:p>
    <w:p>
      <w:pPr>
        <w:pStyle w:val="Texte2"/>
      </w:pPr>
      <w:r>
        <w:t xml:space="preserve">Seuls les membres du Cercle du Zéro peuvent bénéficier de la boutique. </w:t>
      </w:r>
    </w:p>
    <w:p>
      <w:pPr>
        <w:pStyle w:val="Texte2"/>
      </w:pPr>
      <w:r>
        <w:t xml:space="preserve">Les Associations affiliées peuvent commander pour leurs membres. </w:t>
      </w:r>
    </w:p>
    <w:p>
      <w:pPr>
        <w:pStyle w:val="Texte2"/>
      </w:pPr>
      <w:r>
        <w:t xml:space="preserve">La boutique fonctionne par correspondance ou lors de la présence du gérant ou d’un membre habilité pendant une manifestation ou une réunion. </w:t>
      </w:r>
    </w:p>
    <w:p>
      <w:pPr>
        <w:pStyle w:val="Texte2"/>
      </w:pPr>
      <w:r>
        <w:t xml:space="preserve">La vente au public est autorisée au cours de manifestations deux fois par an, après accord du Bureau et de l’organisateur de la manifestation. Dans ce cas, les prix de vente ne peuvent être ni majorés ni minorés. </w:t>
      </w:r>
    </w:p>
    <w:p>
      <w:pPr>
        <w:pStyle w:val="Titre2"/>
      </w:pPr>
      <w:bookmarkStart w:id="14" w:name="_Toc164074855"/>
      <w:r>
        <w:t>Le gérant de la boutique</w:t>
      </w:r>
      <w:bookmarkEnd w:id="14"/>
      <w:r>
        <w:t xml:space="preserve"> </w:t>
      </w:r>
    </w:p>
    <w:p>
      <w:pPr>
        <w:pStyle w:val="Texte2"/>
      </w:pPr>
      <w:r>
        <w:t xml:space="preserve">Il est désigné ou démis par le bureau. Il est validé par l’Assemblée Générale suivante. </w:t>
      </w:r>
    </w:p>
    <w:p>
      <w:pPr>
        <w:pStyle w:val="Texte2"/>
      </w:pPr>
      <w:r>
        <w:t xml:space="preserve">Il n’est pas obligatoirement membre du Bureau. </w:t>
      </w:r>
    </w:p>
    <w:p>
      <w:pPr>
        <w:pStyle w:val="Texte2"/>
      </w:pPr>
      <w:r>
        <w:t xml:space="preserve">A la fin de chaque exercice ou sur demande du Trésorier ou d’un membre du bureau, il devra fournir un rapport d’activité et financier. </w:t>
      </w:r>
    </w:p>
    <w:p>
      <w:pPr>
        <w:pStyle w:val="Texte2"/>
      </w:pPr>
      <w:r>
        <w:t xml:space="preserve">Le gérant de la boutique n’est pas habilité à </w:t>
      </w:r>
      <w:r>
        <w:rPr>
          <w:b/>
        </w:rPr>
        <w:t>passer des commandes</w:t>
      </w:r>
      <w:r>
        <w:t xml:space="preserve"> sans l’accord du Bureau. </w:t>
      </w:r>
    </w:p>
    <w:p>
      <w:pPr>
        <w:pStyle w:val="Texte2"/>
      </w:pPr>
      <w:r>
        <w:t xml:space="preserve">Il peut prospecter, faire des appels d'offres ou demander des devis au nom du Cercle du Zéro. </w:t>
      </w:r>
    </w:p>
    <w:p>
      <w:pPr>
        <w:pStyle w:val="Titre2"/>
      </w:pPr>
      <w:bookmarkStart w:id="15" w:name="_Toc164074856"/>
      <w:r>
        <w:t>Les commandes et expéditions</w:t>
      </w:r>
      <w:bookmarkEnd w:id="15"/>
      <w:r>
        <w:t xml:space="preserve"> </w:t>
      </w:r>
    </w:p>
    <w:p>
      <w:pPr>
        <w:pStyle w:val="Texte2"/>
        <w:rPr>
          <w:rStyle w:val="modif"/>
        </w:rPr>
      </w:pPr>
      <w:r>
        <w:rPr>
          <w:rStyle w:val="modif"/>
        </w:rPr>
        <w:t xml:space="preserve">Toute commande à la boutique CDZ fera l’objet d’une saisie du bon de commande. Ce bon de commande est disponible en téléchargement sur le site CDZ. </w:t>
      </w:r>
    </w:p>
    <w:p>
      <w:pPr>
        <w:pStyle w:val="Texte2"/>
        <w:numPr>
          <w:ilvl w:val="0"/>
          <w:numId w:val="18"/>
        </w:numPr>
        <w:rPr>
          <w:rStyle w:val="modif"/>
        </w:rPr>
      </w:pPr>
      <w:r>
        <w:rPr>
          <w:rStyle w:val="modif"/>
        </w:rPr>
        <w:t xml:space="preserve">Pour une commande par courrier postal, contacter le gérant pour vérifier la disponibilité des produits et le calcul des frais de port. </w:t>
      </w:r>
    </w:p>
    <w:p>
      <w:pPr>
        <w:pStyle w:val="Texte2"/>
        <w:numPr>
          <w:ilvl w:val="0"/>
          <w:numId w:val="18"/>
        </w:numPr>
        <w:rPr>
          <w:rStyle w:val="modif"/>
        </w:rPr>
      </w:pPr>
      <w:r>
        <w:rPr>
          <w:rStyle w:val="modif"/>
        </w:rPr>
        <w:t xml:space="preserve">La commande par téléphone n’est admise que si le gérant accepte de saisir les éléments objet de la commande dans le formulaire boutique. </w:t>
      </w:r>
    </w:p>
    <w:p>
      <w:pPr>
        <w:pStyle w:val="Texte2"/>
      </w:pPr>
      <w:r>
        <w:t xml:space="preserve">La commande est validée dès que le </w:t>
      </w:r>
      <w:r>
        <w:rPr>
          <w:rStyle w:val="modif"/>
        </w:rPr>
        <w:t>bon de commande</w:t>
      </w:r>
      <w:r>
        <w:t xml:space="preserve"> </w:t>
      </w:r>
      <w:r>
        <w:rPr>
          <w:rStyle w:val="modif"/>
        </w:rPr>
        <w:t>et le règlement sont</w:t>
      </w:r>
      <w:r>
        <w:t xml:space="preserve"> parvenus au Gérant. </w:t>
      </w:r>
    </w:p>
    <w:p>
      <w:pPr>
        <w:pStyle w:val="Texte2"/>
        <w:rPr>
          <w:rStyle w:val="modif"/>
        </w:rPr>
      </w:pPr>
      <w:r>
        <w:t xml:space="preserve">Le règlement sera effectué par </w:t>
      </w:r>
      <w:r>
        <w:rPr>
          <w:rStyle w:val="modif"/>
        </w:rPr>
        <w:t>virement bancaire,</w:t>
      </w:r>
      <w:r>
        <w:t xml:space="preserve"> chèque au nom du Cercle du Zéro ou </w:t>
      </w:r>
      <w:r>
        <w:rPr>
          <w:rStyle w:val="modif"/>
        </w:rPr>
        <w:t>en espèces auprès du trésorier.</w:t>
      </w:r>
      <w:r>
        <w:t xml:space="preserve"> </w:t>
      </w:r>
      <w:r>
        <w:rPr>
          <w:rStyle w:val="modif"/>
        </w:rPr>
        <w:t xml:space="preserve">D’autres moyens de paiement immédiat pourront être proposés avec accord du bureau (carte bancaire, smartphone, PayPal, …) </w:t>
      </w:r>
    </w:p>
    <w:p>
      <w:pPr>
        <w:pStyle w:val="Texte2"/>
      </w:pPr>
      <w:r>
        <w:t xml:space="preserve">Une facture sera toujours établie.  </w:t>
      </w:r>
    </w:p>
    <w:p>
      <w:pPr>
        <w:pStyle w:val="Texte2"/>
      </w:pPr>
      <w:r>
        <w:t xml:space="preserve">Les envois se font </w:t>
      </w:r>
      <w:r>
        <w:rPr>
          <w:rStyle w:val="modif"/>
        </w:rPr>
        <w:t xml:space="preserve">au choix de l’acheteur : lettre, colissimo ou poste européenne, mondial </w:t>
      </w:r>
      <w:proofErr w:type="spellStart"/>
      <w:r>
        <w:rPr>
          <w:rStyle w:val="modif"/>
        </w:rPr>
        <w:t>relay</w:t>
      </w:r>
      <w:proofErr w:type="spellEnd"/>
      <w:r>
        <w:rPr>
          <w:rStyle w:val="modif"/>
        </w:rPr>
        <w:t>, …</w:t>
      </w:r>
      <w:r>
        <w:t xml:space="preserve"> Un envoi recommandé est envisageable mais les frais seront à la charge du «client». </w:t>
      </w:r>
    </w:p>
    <w:p>
      <w:pPr>
        <w:pStyle w:val="Titre1"/>
      </w:pPr>
      <w:bookmarkStart w:id="16" w:name="_Toc164074857"/>
      <w:r>
        <w:t>INDEMNISATION DES FRAIS</w:t>
      </w:r>
      <w:bookmarkEnd w:id="16"/>
      <w:r>
        <w:t xml:space="preserve"> </w:t>
      </w:r>
    </w:p>
    <w:p>
      <w:pPr>
        <w:pStyle w:val="Titre2"/>
      </w:pPr>
      <w:bookmarkStart w:id="17" w:name="_Toc164074858"/>
      <w:r>
        <w:t>Généralités :</w:t>
      </w:r>
      <w:bookmarkEnd w:id="17"/>
      <w:r>
        <w:t xml:space="preserve"> </w:t>
      </w:r>
    </w:p>
    <w:p>
      <w:pPr>
        <w:pStyle w:val="Texte2"/>
      </w:pPr>
      <w:r>
        <w:t xml:space="preserve">L’indemnisation de frais concerne les adhérents du Cercle du Zéro, </w:t>
      </w:r>
      <w:r>
        <w:rPr>
          <w:rStyle w:val="modif"/>
        </w:rPr>
        <w:t>ou bénévoles mandatés par le bureau,</w:t>
      </w:r>
      <w:r>
        <w:t xml:space="preserve"> menant des actions pour le fonctionnement et l'animation du Cercle. </w:t>
      </w:r>
    </w:p>
    <w:p>
      <w:pPr>
        <w:pStyle w:val="Texte2"/>
      </w:pPr>
      <w:r>
        <w:t xml:space="preserve">Ce paragraphe précise les règles d’indemnisation. Il est rappelé que les adhérents ne peuvent engager de frais (sauf nécessité particulière) qu’après accord du Président du Cercle ou du Bureau représenté par l’un de ses membres. </w:t>
      </w:r>
    </w:p>
    <w:p>
      <w:pPr>
        <w:pStyle w:val="Texte3"/>
        <w:rPr>
          <w:rStyle w:val="modif"/>
        </w:rPr>
      </w:pPr>
      <w:r>
        <w:rPr>
          <w:rStyle w:val="modif"/>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suppressAutoHyphens w:val="0"/>
        <w:spacing w:before="0"/>
        <w:jc w:val="left"/>
      </w:pPr>
      <w:r>
        <w:br w:type="page"/>
      </w:r>
    </w:p>
    <w:p>
      <w:pPr>
        <w:pStyle w:val="Texte2"/>
      </w:pPr>
      <w:r>
        <w:lastRenderedPageBreak/>
        <w:t xml:space="preserve">Les frais indemnisables doivent répondre aux impératifs suivants :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du Conseil d’Administration ou des Délégués Régionaux.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dirigeants ou non. </w:t>
      </w:r>
    </w:p>
    <w:p>
      <w:pPr>
        <w:pStyle w:val="Texte2"/>
        <w:numPr>
          <w:ilvl w:val="0"/>
          <w:numId w:val="5"/>
        </w:numPr>
      </w:pPr>
      <w:r>
        <w:t xml:space="preserve">Faciliter les opérations de trésorerie </w:t>
      </w:r>
    </w:p>
    <w:p>
      <w:pPr>
        <w:pStyle w:val="Titre3"/>
        <w:rPr>
          <w:rStyle w:val="modif"/>
          <w:i/>
        </w:rPr>
      </w:pPr>
      <w:bookmarkStart w:id="18" w:name="_Toc164074859"/>
      <w:r>
        <w:rPr>
          <w:rStyle w:val="modif"/>
          <w:i/>
        </w:rPr>
        <w:t>CONTRIBUTION VOLONTAIRE</w:t>
      </w:r>
      <w:bookmarkEnd w:id="18"/>
      <w:r>
        <w:rPr>
          <w:rStyle w:val="modif"/>
          <w:i/>
        </w:rPr>
        <w:t xml:space="preserve"> </w:t>
      </w:r>
    </w:p>
    <w:p>
      <w:pPr>
        <w:pStyle w:val="Texte3"/>
        <w:rPr>
          <w:rStyle w:val="modif"/>
        </w:rPr>
      </w:pPr>
      <w:r>
        <w:rPr>
          <w:rStyle w:val="modif"/>
        </w:rPr>
        <w:t>En l’attente de l’agrément d’intérêt générale du Cercle du Zéro par l’administration, le Cercle du Zéro n’émettra pas de reçu fiscal pour les contributions volontaires.</w:t>
      </w:r>
    </w:p>
    <w:p>
      <w:pPr>
        <w:pStyle w:val="Titre2"/>
      </w:pPr>
      <w:bookmarkStart w:id="19" w:name="_Toc164074860"/>
      <w:r>
        <w:t>Cas pouvant ouvrir à indemnisation :</w:t>
      </w:r>
      <w:bookmarkEnd w:id="19"/>
      <w:r>
        <w:t xml:space="preserve"> </w:t>
      </w:r>
    </w:p>
    <w:p>
      <w:pPr>
        <w:pStyle w:val="Titre3"/>
      </w:pPr>
      <w:bookmarkStart w:id="20" w:name="_Toc164074861"/>
      <w:r>
        <w:t>A - PARTICIPATIONS AU CONSEIL D’ADMINISTRATION</w:t>
      </w:r>
      <w:bookmarkEnd w:id="20"/>
      <w:r>
        <w:t xml:space="preserve"> </w:t>
      </w:r>
    </w:p>
    <w:p>
      <w:pPr>
        <w:pStyle w:val="Texte2"/>
        <w:numPr>
          <w:ilvl w:val="0"/>
          <w:numId w:val="5"/>
        </w:numPr>
      </w:pPr>
      <w:r>
        <w:t xml:space="preserve">Frais de transports en commun </w:t>
      </w:r>
    </w:p>
    <w:p>
      <w:pPr>
        <w:pStyle w:val="Texte2"/>
        <w:numPr>
          <w:ilvl w:val="0"/>
          <w:numId w:val="5"/>
        </w:numPr>
      </w:pPr>
      <w:r>
        <w:t xml:space="preserve">Indemnité kilométrique avec justificatif type « via Michelin » </w:t>
      </w:r>
    </w:p>
    <w:p>
      <w:pPr>
        <w:pStyle w:val="Texte2"/>
        <w:numPr>
          <w:ilvl w:val="0"/>
          <w:numId w:val="5"/>
        </w:numPr>
      </w:pPr>
      <w:r>
        <w:t xml:space="preserve">Frais de péage </w:t>
      </w:r>
    </w:p>
    <w:p>
      <w:pPr>
        <w:pStyle w:val="Titre3"/>
      </w:pPr>
      <w:bookmarkStart w:id="21" w:name="_Toc164074862"/>
      <w:r>
        <w:t>B - MISSIONS DES DÉLÉGUÉS RÉGIONAUX</w:t>
      </w:r>
      <w:bookmarkEnd w:id="21"/>
      <w:r>
        <w:t xml:space="preserve"> </w:t>
      </w:r>
    </w:p>
    <w:p>
      <w:pPr>
        <w:pStyle w:val="Texte3"/>
      </w:pPr>
      <w:r>
        <w:t xml:space="preserve">Les frais suivants sont indemnisables dans la zone d’intervention du délégué régional : - Frais de transports en commun </w:t>
      </w:r>
    </w:p>
    <w:p>
      <w:pPr>
        <w:pStyle w:val="Texte2"/>
        <w:numPr>
          <w:ilvl w:val="0"/>
          <w:numId w:val="5"/>
        </w:numPr>
      </w:pPr>
      <w:r>
        <w:t xml:space="preserve">Indemnité kilométrique avec justificatif de type « via Michelin » </w:t>
      </w:r>
    </w:p>
    <w:p>
      <w:pPr>
        <w:pStyle w:val="Texte2"/>
        <w:numPr>
          <w:ilvl w:val="0"/>
          <w:numId w:val="5"/>
        </w:numPr>
      </w:pPr>
      <w:r>
        <w:t xml:space="preserve">Frais de péage </w:t>
      </w:r>
    </w:p>
    <w:p>
      <w:pPr>
        <w:pStyle w:val="Texte2"/>
        <w:numPr>
          <w:ilvl w:val="0"/>
          <w:numId w:val="5"/>
        </w:numPr>
      </w:pPr>
      <w:r>
        <w:t xml:space="preserve">Frais de papeterie et d’affranchissements </w:t>
      </w:r>
    </w:p>
    <w:p>
      <w:pPr>
        <w:pStyle w:val="Titre3"/>
      </w:pPr>
      <w:bookmarkStart w:id="22" w:name="_Toc164074863"/>
      <w:r>
        <w:t>C - FRAIS DES BÉNÉVOLES DANS LES EXPOSITIONS</w:t>
      </w:r>
      <w:bookmarkEnd w:id="22"/>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rPr>
      </w:pPr>
      <w:r>
        <w:rPr>
          <w:rStyle w:val="modif"/>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pStyle w:val="Titre2"/>
      </w:pPr>
      <w:bookmarkStart w:id="23" w:name="_Toc164074864"/>
      <w:r>
        <w:t>Barème de prise en charge des frais engagés pour le Cercle</w:t>
      </w:r>
      <w:bookmarkEnd w:id="23"/>
    </w:p>
    <w:p>
      <w:pPr>
        <w:pStyle w:val="Texte2"/>
      </w:pPr>
      <w:r>
        <w:t xml:space="preserve">Les moyens financiers de l’association proviennent des cotisations. Les bénévoles comprendront que tous les frais engagés ne peuvent être remboursés intégralement. </w:t>
      </w:r>
    </w:p>
    <w:p>
      <w:pPr>
        <w:pStyle w:val="Texte2"/>
        <w:jc w:val="right"/>
        <w:rPr>
          <w:rStyle w:val="modif"/>
          <w:color w:val="632423" w:themeColor="accent2" w:themeShade="80"/>
        </w:rPr>
      </w:pPr>
      <w:r>
        <w:rPr>
          <w:rStyle w:val="modif"/>
          <w:color w:val="632423" w:themeColor="accent2" w:themeShade="80"/>
        </w:rPr>
        <w:t>Tableau proposé Bruno D. au 15/04/2024, à discuter !</w:t>
      </w:r>
    </w:p>
    <w:tbl>
      <w:tblPr>
        <w:tblStyle w:val="Grilledutableau"/>
        <w:tblW w:w="10060" w:type="dxa"/>
        <w:tblInd w:w="279" w:type="dxa"/>
        <w:tblLook w:val="04A0" w:firstRow="1" w:lastRow="0" w:firstColumn="1" w:lastColumn="0" w:noHBand="0" w:noVBand="1"/>
      </w:tblPr>
      <w:tblGrid>
        <w:gridCol w:w="2263"/>
        <w:gridCol w:w="1134"/>
        <w:gridCol w:w="1560"/>
        <w:gridCol w:w="1559"/>
        <w:gridCol w:w="3544"/>
      </w:tblGrid>
      <w:tr>
        <w:tc>
          <w:tcPr>
            <w:tcW w:w="2263" w:type="dxa"/>
          </w:tcPr>
          <w:p>
            <w:pPr>
              <w:jc w:val="center"/>
              <w:rPr>
                <w:b/>
              </w:rPr>
            </w:pPr>
            <w:r>
              <w:rPr>
                <w:b/>
              </w:rPr>
              <w:t>Type de frais</w:t>
            </w:r>
          </w:p>
        </w:tc>
        <w:tc>
          <w:tcPr>
            <w:tcW w:w="1134" w:type="dxa"/>
          </w:tcPr>
          <w:p>
            <w:pPr>
              <w:jc w:val="center"/>
              <w:rPr>
                <w:b/>
              </w:rPr>
            </w:pPr>
            <w:r>
              <w:rPr>
                <w:b/>
              </w:rPr>
              <w:t>unité</w:t>
            </w:r>
          </w:p>
        </w:tc>
        <w:tc>
          <w:tcPr>
            <w:tcW w:w="1560" w:type="dxa"/>
          </w:tcPr>
          <w:p>
            <w:pPr>
              <w:jc w:val="center"/>
              <w:rPr>
                <w:b/>
              </w:rPr>
            </w:pPr>
            <w:r>
              <w:rPr>
                <w:b/>
              </w:rPr>
              <w:t>Barème</w:t>
            </w:r>
          </w:p>
        </w:tc>
        <w:tc>
          <w:tcPr>
            <w:tcW w:w="1559" w:type="dxa"/>
          </w:tcPr>
          <w:p>
            <w:pPr>
              <w:jc w:val="center"/>
              <w:rPr>
                <w:b/>
              </w:rPr>
            </w:pPr>
            <w:r>
              <w:rPr>
                <w:b/>
              </w:rPr>
              <w:t>maximum</w:t>
            </w:r>
          </w:p>
        </w:tc>
        <w:tc>
          <w:tcPr>
            <w:tcW w:w="3544" w:type="dxa"/>
          </w:tcPr>
          <w:p>
            <w:pPr>
              <w:jc w:val="center"/>
              <w:rPr>
                <w:b/>
              </w:rPr>
            </w:pPr>
            <w:r>
              <w:rPr>
                <w:b/>
              </w:rPr>
              <w:t>Observation</w:t>
            </w:r>
          </w:p>
        </w:tc>
      </w:tr>
      <w:tr>
        <w:tc>
          <w:tcPr>
            <w:tcW w:w="2263" w:type="dxa"/>
          </w:tcPr>
          <w:p>
            <w:pPr>
              <w:jc w:val="center"/>
              <w:rPr>
                <w:b/>
              </w:rPr>
            </w:pPr>
            <w:r>
              <w:rPr>
                <w:b/>
              </w:rPr>
              <w:t>Transport en commun</w:t>
            </w:r>
          </w:p>
        </w:tc>
        <w:tc>
          <w:tcPr>
            <w:tcW w:w="1134" w:type="dxa"/>
          </w:tcPr>
          <w:p>
            <w:pPr>
              <w:jc w:val="left"/>
            </w:pPr>
            <w:r>
              <w:t>trajet</w:t>
            </w:r>
          </w:p>
        </w:tc>
        <w:tc>
          <w:tcPr>
            <w:tcW w:w="1560" w:type="dxa"/>
          </w:tcPr>
          <w:p>
            <w:pPr>
              <w:jc w:val="left"/>
            </w:pPr>
            <w:r>
              <w:t>Ticket transporteur</w:t>
            </w:r>
          </w:p>
        </w:tc>
        <w:tc>
          <w:tcPr>
            <w:tcW w:w="1559" w:type="dxa"/>
          </w:tcPr>
          <w:p>
            <w:pPr>
              <w:jc w:val="left"/>
            </w:pPr>
            <w:r>
              <w:t>Classe économique</w:t>
            </w:r>
          </w:p>
        </w:tc>
        <w:tc>
          <w:tcPr>
            <w:tcW w:w="3544" w:type="dxa"/>
          </w:tcPr>
          <w:p>
            <w:pPr>
              <w:jc w:val="left"/>
            </w:pPr>
            <w:r>
              <w:t>Anticiper la réservation, rechercher le plus avantageux</w:t>
            </w:r>
          </w:p>
        </w:tc>
      </w:tr>
      <w:tr>
        <w:tc>
          <w:tcPr>
            <w:tcW w:w="2263" w:type="dxa"/>
          </w:tcPr>
          <w:p>
            <w:pPr>
              <w:jc w:val="center"/>
              <w:rPr>
                <w:b/>
              </w:rPr>
            </w:pPr>
            <w:r>
              <w:rPr>
                <w:b/>
              </w:rPr>
              <w:t>Voiture personnelle</w:t>
            </w:r>
          </w:p>
        </w:tc>
        <w:tc>
          <w:tcPr>
            <w:tcW w:w="1134" w:type="dxa"/>
          </w:tcPr>
          <w:p>
            <w:pPr>
              <w:jc w:val="left"/>
            </w:pPr>
            <w:r>
              <w:t>km</w:t>
            </w:r>
          </w:p>
        </w:tc>
        <w:tc>
          <w:tcPr>
            <w:tcW w:w="1560" w:type="dxa"/>
          </w:tcPr>
          <w:p>
            <w:pPr>
              <w:jc w:val="left"/>
            </w:pPr>
            <w:r>
              <w:t>0,53 €/km</w:t>
            </w:r>
          </w:p>
        </w:tc>
        <w:tc>
          <w:tcPr>
            <w:tcW w:w="1559" w:type="dxa"/>
          </w:tcPr>
          <w:p>
            <w:pPr>
              <w:jc w:val="left"/>
            </w:pPr>
            <w:r>
              <w:t>+ court km</w:t>
            </w:r>
          </w:p>
        </w:tc>
        <w:tc>
          <w:tcPr>
            <w:tcW w:w="3544" w:type="dxa"/>
          </w:tcPr>
          <w:p>
            <w:pPr>
              <w:jc w:val="left"/>
            </w:pPr>
            <w:r>
              <w:t xml:space="preserve">Itinéraire </w:t>
            </w:r>
            <w:r>
              <w:rPr>
                <w:rStyle w:val="modif"/>
              </w:rPr>
              <w:t xml:space="preserve">(info : </w:t>
            </w:r>
            <w:r>
              <w:rPr>
                <w:rStyle w:val="modif"/>
                <w:sz w:val="20"/>
              </w:rPr>
              <w:t xml:space="preserve">FFMF 07/2023, </w:t>
            </w:r>
            <w:r>
              <w:rPr>
                <w:rStyle w:val="modif"/>
              </w:rPr>
              <w:t xml:space="preserve">0,53 </w:t>
            </w:r>
            <w:r>
              <w:rPr>
                <w:rStyle w:val="modif"/>
                <w:sz w:val="20"/>
              </w:rPr>
              <w:t>€/km</w:t>
            </w:r>
            <w:r>
              <w:rPr>
                <w:rStyle w:val="modif"/>
                <w:sz w:val="20"/>
              </w:rPr>
              <w:t>,</w:t>
            </w:r>
            <w:r>
              <w:rPr>
                <w:rStyle w:val="modif"/>
                <w:sz w:val="20"/>
              </w:rPr>
              <w:t xml:space="preserve"> </w:t>
            </w:r>
            <w:r>
              <w:rPr>
                <w:rStyle w:val="modif"/>
                <w:sz w:val="20"/>
              </w:rPr>
              <w:t xml:space="preserve"> x0.66 = 0,34</w:t>
            </w:r>
          </w:p>
        </w:tc>
      </w:tr>
      <w:tr>
        <w:tc>
          <w:tcPr>
            <w:tcW w:w="2263" w:type="dxa"/>
          </w:tcPr>
          <w:p>
            <w:pPr>
              <w:jc w:val="center"/>
              <w:rPr>
                <w:b/>
              </w:rPr>
            </w:pPr>
            <w:r>
              <w:rPr>
                <w:b/>
              </w:rPr>
              <w:t>Frais de péage</w:t>
            </w:r>
          </w:p>
        </w:tc>
        <w:tc>
          <w:tcPr>
            <w:tcW w:w="1134" w:type="dxa"/>
          </w:tcPr>
          <w:p>
            <w:pPr>
              <w:jc w:val="left"/>
            </w:pPr>
            <w:r>
              <w:t>trajet</w:t>
            </w:r>
          </w:p>
        </w:tc>
        <w:tc>
          <w:tcPr>
            <w:tcW w:w="1560" w:type="dxa"/>
          </w:tcPr>
          <w:p>
            <w:pPr>
              <w:jc w:val="left"/>
            </w:pPr>
            <w:r>
              <w:t>ticket</w:t>
            </w:r>
          </w:p>
        </w:tc>
        <w:tc>
          <w:tcPr>
            <w:tcW w:w="1559" w:type="dxa"/>
          </w:tcPr>
          <w:p>
            <w:pPr>
              <w:jc w:val="left"/>
            </w:pPr>
          </w:p>
        </w:tc>
        <w:tc>
          <w:tcPr>
            <w:tcW w:w="3544" w:type="dxa"/>
          </w:tcPr>
          <w:p>
            <w:pPr>
              <w:jc w:val="left"/>
            </w:pPr>
            <w:r>
              <w:t xml:space="preserve">Route sans péage si gain &lt;30 min </w:t>
            </w:r>
          </w:p>
        </w:tc>
      </w:tr>
      <w:tr>
        <w:tc>
          <w:tcPr>
            <w:tcW w:w="2263" w:type="dxa"/>
          </w:tcPr>
          <w:p>
            <w:pPr>
              <w:jc w:val="center"/>
              <w:rPr>
                <w:b/>
              </w:rPr>
            </w:pPr>
            <w:r>
              <w:rPr>
                <w:b/>
              </w:rPr>
              <w:t>Restauration</w:t>
            </w:r>
          </w:p>
        </w:tc>
        <w:tc>
          <w:tcPr>
            <w:tcW w:w="1134" w:type="dxa"/>
          </w:tcPr>
          <w:p>
            <w:pPr>
              <w:jc w:val="left"/>
            </w:pPr>
            <w:r>
              <w:t>repas</w:t>
            </w:r>
          </w:p>
        </w:tc>
        <w:tc>
          <w:tcPr>
            <w:tcW w:w="1560" w:type="dxa"/>
          </w:tcPr>
          <w:p>
            <w:pPr>
              <w:jc w:val="left"/>
            </w:pPr>
            <w:r>
              <w:t>ticket</w:t>
            </w:r>
          </w:p>
        </w:tc>
        <w:tc>
          <w:tcPr>
            <w:tcW w:w="1559" w:type="dxa"/>
          </w:tcPr>
          <w:p>
            <w:pPr>
              <w:jc w:val="left"/>
            </w:pPr>
            <w:r>
              <w:t>18 € /repas</w:t>
            </w:r>
          </w:p>
        </w:tc>
        <w:tc>
          <w:tcPr>
            <w:tcW w:w="3544" w:type="dxa"/>
          </w:tcPr>
          <w:p>
            <w:pPr>
              <w:jc w:val="left"/>
            </w:pPr>
            <w:r>
              <w:t>Moins est permis !</w:t>
            </w:r>
          </w:p>
        </w:tc>
      </w:tr>
      <w:tr>
        <w:tc>
          <w:tcPr>
            <w:tcW w:w="2263" w:type="dxa"/>
          </w:tcPr>
          <w:p>
            <w:pPr>
              <w:jc w:val="center"/>
              <w:rPr>
                <w:b/>
              </w:rPr>
            </w:pPr>
            <w:r>
              <w:rPr>
                <w:b/>
              </w:rPr>
              <w:t>Hébergement</w:t>
            </w:r>
          </w:p>
        </w:tc>
        <w:tc>
          <w:tcPr>
            <w:tcW w:w="1134" w:type="dxa"/>
          </w:tcPr>
          <w:p>
            <w:pPr>
              <w:jc w:val="left"/>
            </w:pPr>
            <w:r>
              <w:t>nuitée</w:t>
            </w:r>
          </w:p>
        </w:tc>
        <w:tc>
          <w:tcPr>
            <w:tcW w:w="1560" w:type="dxa"/>
          </w:tcPr>
          <w:p>
            <w:pPr>
              <w:jc w:val="left"/>
            </w:pPr>
            <w:r>
              <w:t>facture</w:t>
            </w:r>
          </w:p>
        </w:tc>
        <w:tc>
          <w:tcPr>
            <w:tcW w:w="1559" w:type="dxa"/>
          </w:tcPr>
          <w:p>
            <w:pPr>
              <w:jc w:val="left"/>
            </w:pPr>
            <w:r>
              <w:t>45 € /nuit</w:t>
            </w:r>
          </w:p>
        </w:tc>
        <w:tc>
          <w:tcPr>
            <w:tcW w:w="3544" w:type="dxa"/>
          </w:tcPr>
          <w:p>
            <w:pPr>
              <w:jc w:val="left"/>
            </w:pPr>
            <w:r>
              <w:t xml:space="preserve">Privilégier l’hébergement partagé </w:t>
            </w:r>
          </w:p>
        </w:tc>
      </w:tr>
      <w:tr>
        <w:tc>
          <w:tcPr>
            <w:tcW w:w="2263" w:type="dxa"/>
          </w:tcPr>
          <w:p>
            <w:pPr>
              <w:jc w:val="center"/>
              <w:rPr>
                <w:b/>
              </w:rPr>
            </w:pPr>
          </w:p>
        </w:tc>
        <w:tc>
          <w:tcPr>
            <w:tcW w:w="1134" w:type="dxa"/>
          </w:tcPr>
          <w:p>
            <w:pPr>
              <w:jc w:val="left"/>
            </w:pPr>
          </w:p>
        </w:tc>
        <w:tc>
          <w:tcPr>
            <w:tcW w:w="1560" w:type="dxa"/>
          </w:tcPr>
          <w:p>
            <w:pPr>
              <w:jc w:val="left"/>
            </w:pPr>
          </w:p>
        </w:tc>
        <w:tc>
          <w:tcPr>
            <w:tcW w:w="1559" w:type="dxa"/>
          </w:tcPr>
          <w:p>
            <w:pPr>
              <w:jc w:val="left"/>
            </w:pPr>
          </w:p>
        </w:tc>
        <w:tc>
          <w:tcPr>
            <w:tcW w:w="3544" w:type="dxa"/>
          </w:tcPr>
          <w:p>
            <w:pPr>
              <w:jc w:val="left"/>
            </w:pPr>
          </w:p>
        </w:tc>
      </w:tr>
    </w:tbl>
    <w:p>
      <w:pPr>
        <w:pStyle w:val="Texte2"/>
        <w:rPr>
          <w:rStyle w:val="modif"/>
        </w:rPr>
      </w:pPr>
      <w:r>
        <w:rPr>
          <w:rStyle w:val="modif"/>
        </w:rPr>
        <w:t>Le remboursement CDZ est limité à 66% des sommes engagées et justifiées, par analogie avec les réductions d’impôt suite aux versements aux associations d’intérêt général.</w:t>
      </w:r>
    </w:p>
    <w:p>
      <w:r>
        <w:br w:type="page"/>
      </w:r>
    </w:p>
    <w:p>
      <w:pPr>
        <w:pStyle w:val="Titre2"/>
      </w:pPr>
      <w:bookmarkStart w:id="24" w:name="_Toc164074865"/>
      <w:r>
        <w:lastRenderedPageBreak/>
        <w:t>Modalités de remboursement :</w:t>
      </w:r>
      <w:bookmarkEnd w:id="24"/>
      <w:r>
        <w:t xml:space="preserve"> </w:t>
      </w:r>
    </w:p>
    <w:p>
      <w:pPr>
        <w:pStyle w:val="Titre3"/>
        <w:rPr>
          <w:rStyle w:val="modif"/>
          <w:i/>
          <w:color w:val="auto"/>
        </w:rPr>
      </w:pPr>
      <w:bookmarkStart w:id="25" w:name="_Toc164074866"/>
      <w:proofErr w:type="gramStart"/>
      <w:r>
        <w:rPr>
          <w:rStyle w:val="modif"/>
          <w:i/>
          <w:color w:val="auto"/>
        </w:rPr>
        <w:t>A -</w:t>
      </w:r>
      <w:proofErr w:type="gramEnd"/>
      <w:r>
        <w:rPr>
          <w:rStyle w:val="modif"/>
          <w:i/>
          <w:color w:val="auto"/>
        </w:rPr>
        <w:t xml:space="preserve"> LA NOTE DE FRAIS</w:t>
      </w:r>
      <w:bookmarkEnd w:id="25"/>
      <w:r>
        <w:rPr>
          <w:rStyle w:val="modif"/>
          <w:i/>
          <w:color w:val="auto"/>
        </w:rPr>
        <w:t xml:space="preserve"> </w:t>
      </w:r>
    </w:p>
    <w:p>
      <w:pPr>
        <w:pStyle w:val="Texte3"/>
      </w:pPr>
      <w:r>
        <w:t xml:space="preserve">Seuls les frais réellement engagés peuvent donner lieu à remboursement. </w:t>
      </w:r>
    </w:p>
    <w:p>
      <w:pPr>
        <w:pStyle w:val="Texte3"/>
        <w:rPr>
          <w:rStyle w:val="modif"/>
        </w:rPr>
      </w:pPr>
      <w:r>
        <w:rPr>
          <w:rStyle w:val="modif"/>
        </w:rPr>
        <w:t xml:space="preserve">Le demandeur établira une « NOTE DE FRAIS » selon le formulaire établi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 xml:space="preserve">des frais kilométrique </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conseil d’administration </w:t>
      </w:r>
    </w:p>
    <w:p>
      <w:pPr>
        <w:pStyle w:val="Texte3"/>
      </w:pPr>
      <w:r>
        <w:t xml:space="preserve">Dans tous les cas, le Cercle du Zéro se réserve le droit de refuser ou de limiter un remboursement de frais de transport qui aurait pu être fait à meilleur coût. </w:t>
      </w:r>
    </w:p>
    <w:p>
      <w:pPr>
        <w:pStyle w:val="Titre3"/>
      </w:pPr>
      <w:bookmarkStart w:id="26" w:name="_Toc164074867"/>
      <w:r>
        <w:t>B - Justificatifs des frais engagés pour CDZ</w:t>
      </w:r>
      <w:bookmarkEnd w:id="26"/>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Relevé kilométrique des déplacements selon calcul « via Michelin » ou équivalent.</w:t>
      </w:r>
    </w:p>
    <w:p>
      <w:pPr>
        <w:numPr>
          <w:ilvl w:val="0"/>
          <w:numId w:val="17"/>
        </w:numPr>
      </w:pPr>
      <w:r>
        <w:t>Photocopie de la carte grise du véhicule personnel utilisé (1 fois/an)</w:t>
      </w:r>
    </w:p>
    <w:p>
      <w:pPr>
        <w:pStyle w:val="Titre3"/>
        <w:rPr>
          <w:rStyle w:val="modif"/>
          <w:i/>
        </w:rPr>
      </w:pPr>
      <w:bookmarkStart w:id="27" w:name="_Toc164074868"/>
      <w:r>
        <w:rPr>
          <w:rStyle w:val="modif"/>
          <w:i/>
        </w:rPr>
        <w:t>C - CONTRIBUTION VOLONTAIRE</w:t>
      </w:r>
      <w:bookmarkEnd w:id="27"/>
      <w:r>
        <w:rPr>
          <w:rStyle w:val="modif"/>
          <w:i/>
        </w:rPr>
        <w:t xml:space="preserve"> </w:t>
      </w:r>
    </w:p>
    <w:p>
      <w:pPr>
        <w:pStyle w:val="Texte3"/>
        <w:rPr>
          <w:rStyle w:val="modif"/>
        </w:rPr>
      </w:pPr>
      <w:r>
        <w:rPr>
          <w:rStyle w:val="modif"/>
        </w:rPr>
        <w:t xml:space="preserve">Si l’association est reconnue « d’intérêt général » par l’administration fiscale, les adhérents seront invités à préférer l’abandon de créance en place de la note de frais. </w:t>
      </w:r>
    </w:p>
    <w:p>
      <w:pPr>
        <w:pStyle w:val="Texte3"/>
        <w:rPr>
          <w:rStyle w:val="modif"/>
        </w:rPr>
      </w:pPr>
      <w:r>
        <w:rPr>
          <w:rStyle w:val="modif"/>
        </w:rPr>
        <w:t xml:space="preserve">Les frais engagés pour le Cercle seront présentés selon le même barème que la note de frais avec les mêmes justificatifs. </w:t>
      </w:r>
    </w:p>
    <w:p>
      <w:pPr>
        <w:pStyle w:val="Texte3"/>
        <w:rPr>
          <w:rStyle w:val="modif"/>
        </w:rPr>
      </w:pPr>
      <w:r>
        <w:rPr>
          <w:rStyle w:val="modif"/>
        </w:rPr>
        <w:t>Le Cercle du Zéro établira un reçu fiscal qui sera transmis à l’adhérent, avant la date de déclaration des revenus de l’année d’engagement des frais.</w:t>
      </w:r>
    </w:p>
    <w:p>
      <w:pPr>
        <w:pStyle w:val="Texte3"/>
      </w:pPr>
      <w:r>
        <w:rPr>
          <w:rStyle w:val="modif"/>
        </w:rPr>
        <w:t>Selon dispositions légales, l’adhérent pourra alors bénéficier d’une réduction d’impôt de 66% des sommes engagées.</w:t>
      </w:r>
      <w:r>
        <w:t xml:space="preserve"> </w:t>
      </w:r>
    </w:p>
    <w:sectPr>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cdz_RI-Reglement-Interieur_projet2-15avril2024.docx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15/04/2024 12:01</w:t>
    </w:r>
    <w:r>
      <w:fldChar w:fldCharType="end"/>
    </w:r>
    <w:r>
      <w:t xml:space="preserve"> - page </w:t>
    </w:r>
    <w:r>
      <w:fldChar w:fldCharType="begin"/>
    </w:r>
    <w:r>
      <w:instrText xml:space="preserve"> PAGE  \* MERGEFORMAT </w:instrText>
    </w:r>
    <w:r>
      <w:fldChar w:fldCharType="separate"/>
    </w:r>
    <w:r>
      <w:t>4</w:t>
    </w:r>
    <w:r>
      <w:fldChar w:fldCharType="end"/>
    </w:r>
    <w:r>
      <w:t>/</w:t>
    </w:r>
    <w:fldSimple w:instr=" NUMPAGES  \* MERGEFORMAT ">
      <w:r>
        <w:t>5</w:t>
      </w:r>
    </w:fldSimple>
    <w:r>
      <w:b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7"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8"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9"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0"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2"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3"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4"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0"/>
  </w:num>
  <w:num w:numId="2">
    <w:abstractNumId w:val="10"/>
  </w:num>
  <w:num w:numId="3">
    <w:abstractNumId w:val="10"/>
  </w:num>
  <w:num w:numId="4">
    <w:abstractNumId w:val="4"/>
  </w:num>
  <w:num w:numId="5">
    <w:abstractNumId w:val="12"/>
  </w:num>
  <w:num w:numId="6">
    <w:abstractNumId w:val="11"/>
  </w:num>
  <w:num w:numId="7">
    <w:abstractNumId w:val="0"/>
  </w:num>
  <w:num w:numId="8">
    <w:abstractNumId w:val="1"/>
  </w:num>
  <w:num w:numId="9">
    <w:abstractNumId w:val="2"/>
  </w:num>
  <w:num w:numId="10">
    <w:abstractNumId w:val="3"/>
  </w:num>
  <w:num w:numId="11">
    <w:abstractNumId w:val="13"/>
  </w:num>
  <w:num w:numId="12">
    <w:abstractNumId w:val="14"/>
  </w:num>
  <w:num w:numId="13">
    <w:abstractNumId w:val="5"/>
  </w:num>
  <w:num w:numId="14">
    <w:abstractNumId w:val="8"/>
  </w:num>
  <w:num w:numId="15">
    <w:abstractNumId w:val="15"/>
  </w:num>
  <w:num w:numId="16">
    <w:abstractNumId w:val="9"/>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0E901-5BE6-4085-8F76-D7957B4A0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5</Pages>
  <Words>2031</Words>
  <Characters>11176</Characters>
  <Application>Microsoft Office Word</Application>
  <DocSecurity>0</DocSecurity>
  <Lines>93</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23</cp:revision>
  <cp:lastPrinted>2016-07-11T13:09:00Z</cp:lastPrinted>
  <dcterms:created xsi:type="dcterms:W3CDTF">2024-04-15T07:35:00Z</dcterms:created>
  <dcterms:modified xsi:type="dcterms:W3CDTF">2024-04-15T10:03:00Z</dcterms:modified>
</cp:coreProperties>
</file>