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widowControl w:val="0"/>
        <w:pBdr>
          <w:top w:val="nil"/>
          <w:left w:val="nil"/>
          <w:bottom w:val="nil"/>
          <w:right w:val="nil"/>
          <w:between w:val="nil"/>
        </w:pBdr>
        <w:spacing w:before="228" w:line="240" w:lineRule="auto"/>
        <w:ind w:right="3362"/>
        <w:jc w:val="right"/>
        <w:rPr>
          <w:rFonts w:ascii="Times New Roman" w:eastAsia="Times New Roman" w:hAnsi="Times New Roman" w:cs="Times New Roman"/>
          <w:b/>
          <w:color w:val="231F20"/>
          <w:sz w:val="34"/>
          <w:szCs w:val="34"/>
        </w:rPr>
      </w:pPr>
      <w:r>
        <w:rPr>
          <w:rFonts w:ascii="Times New Roman" w:eastAsia="Times New Roman" w:hAnsi="Times New Roman" w:cs="Times New Roman"/>
          <w:b/>
          <w:color w:val="231F20"/>
          <w:sz w:val="34"/>
          <w:szCs w:val="34"/>
        </w:rPr>
        <w:t xml:space="preserve">CERCLE DU ZÉRO </w:t>
      </w:r>
      <w:r>
        <w:rPr>
          <w:noProof/>
        </w:rPr>
        <w:drawing>
          <wp:anchor distT="19050" distB="19050" distL="19050" distR="19050" simplePos="0" relativeHeight="251658240" behindDoc="0" locked="0" layoutInCell="1" hidden="0" allowOverlap="1">
            <wp:simplePos x="0" y="0"/>
            <wp:positionH relativeFrom="column">
              <wp:posOffset>19050</wp:posOffset>
            </wp:positionH>
            <wp:positionV relativeFrom="paragraph">
              <wp:posOffset>-126269</wp:posOffset>
            </wp:positionV>
            <wp:extent cx="993953" cy="916229"/>
            <wp:effectExtent l="0" t="0" r="0" b="0"/>
            <wp:wrapSquare wrapText="right" distT="19050" distB="19050" distL="19050" distR="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993953" cy="916229"/>
                    </a:xfrm>
                    <a:prstGeom prst="rect">
                      <a:avLst/>
                    </a:prstGeom>
                    <a:ln/>
                  </pic:spPr>
                </pic:pic>
              </a:graphicData>
            </a:graphic>
          </wp:anchor>
        </w:drawing>
      </w:r>
    </w:p>
    <w:p>
      <w:pPr>
        <w:widowControl w:val="0"/>
        <w:pBdr>
          <w:top w:val="nil"/>
          <w:left w:val="nil"/>
          <w:bottom w:val="nil"/>
          <w:right w:val="nil"/>
          <w:between w:val="nil"/>
        </w:pBdr>
        <w:spacing w:before="11" w:line="240" w:lineRule="auto"/>
        <w:ind w:right="2754"/>
        <w:jc w:val="right"/>
        <w:rPr>
          <w:rFonts w:ascii="Times New Roman" w:eastAsia="Times New Roman" w:hAnsi="Times New Roman" w:cs="Times New Roman"/>
          <w:b/>
          <w:color w:val="231F20"/>
          <w:sz w:val="34"/>
          <w:szCs w:val="34"/>
        </w:rPr>
      </w:pPr>
      <w:r>
        <w:rPr>
          <w:rFonts w:ascii="Times New Roman" w:eastAsia="Times New Roman" w:hAnsi="Times New Roman" w:cs="Times New Roman"/>
          <w:b/>
          <w:color w:val="231F20"/>
          <w:sz w:val="34"/>
          <w:szCs w:val="34"/>
        </w:rPr>
        <w:t>RÈGLEMENT INTÉRIEUR</w:t>
      </w:r>
    </w:p>
    <w:p>
      <w:pPr>
        <w:widowControl w:val="0"/>
        <w:pBdr>
          <w:top w:val="nil"/>
          <w:left w:val="nil"/>
          <w:bottom w:val="nil"/>
          <w:right w:val="nil"/>
          <w:between w:val="nil"/>
        </w:pBdr>
        <w:spacing w:before="699" w:line="239" w:lineRule="auto"/>
        <w:ind w:left="9" w:right="3" w:firstLine="9"/>
        <w:rPr>
          <w:rFonts w:ascii="Verdana" w:eastAsia="Verdana" w:hAnsi="Verdana" w:cs="Verdana"/>
          <w:b/>
          <w:color w:val="231F20"/>
          <w:sz w:val="19"/>
          <w:szCs w:val="19"/>
        </w:rPr>
      </w:pPr>
      <w:r>
        <w:rPr>
          <w:rFonts w:ascii="Verdana" w:eastAsia="Verdana" w:hAnsi="Verdana" w:cs="Verdana"/>
          <w:b/>
          <w:color w:val="231F20"/>
          <w:sz w:val="19"/>
          <w:szCs w:val="19"/>
        </w:rPr>
        <w:t>Dans ce document, est désignée comme membr</w:t>
      </w:r>
      <w:bookmarkStart w:id="0" w:name="_GoBack"/>
      <w:bookmarkEnd w:id="0"/>
      <w:r>
        <w:rPr>
          <w:rFonts w:ascii="Verdana" w:eastAsia="Verdana" w:hAnsi="Verdana" w:cs="Verdana"/>
          <w:b/>
          <w:color w:val="231F20"/>
          <w:sz w:val="19"/>
          <w:szCs w:val="19"/>
        </w:rPr>
        <w:t xml:space="preserve">e la personne physique ou morale à jour de sa  cotisation pour l’année en cours. </w:t>
      </w:r>
    </w:p>
    <w:p>
      <w:pPr>
        <w:widowControl w:val="0"/>
        <w:pBdr>
          <w:top w:val="nil"/>
          <w:left w:val="nil"/>
          <w:bottom w:val="nil"/>
          <w:right w:val="nil"/>
          <w:between w:val="nil"/>
        </w:pBdr>
        <w:spacing w:before="239" w:line="240" w:lineRule="auto"/>
        <w:ind w:left="3"/>
        <w:rPr>
          <w:rFonts w:ascii="Verdana" w:eastAsia="Verdana" w:hAnsi="Verdana" w:cs="Verdana"/>
          <w:b/>
          <w:color w:val="231F20"/>
          <w:sz w:val="19"/>
          <w:szCs w:val="19"/>
        </w:rPr>
      </w:pPr>
      <w:r>
        <w:rPr>
          <w:rFonts w:ascii="Verdana" w:eastAsia="Verdana" w:hAnsi="Verdana" w:cs="Verdana"/>
          <w:b/>
          <w:color w:val="231F20"/>
          <w:sz w:val="19"/>
          <w:szCs w:val="19"/>
        </w:rPr>
        <w:t xml:space="preserve">ASSEMBLÉES GÉNÉRALES </w:t>
      </w:r>
    </w:p>
    <w:p>
      <w:pPr>
        <w:widowControl w:val="0"/>
        <w:pBdr>
          <w:top w:val="nil"/>
          <w:left w:val="nil"/>
          <w:bottom w:val="nil"/>
          <w:right w:val="nil"/>
          <w:between w:val="nil"/>
        </w:pBdr>
        <w:spacing w:before="239" w:line="240" w:lineRule="auto"/>
        <w:ind w:left="19"/>
        <w:rPr>
          <w:rFonts w:ascii="Verdana" w:eastAsia="Verdana" w:hAnsi="Verdana" w:cs="Verdana"/>
          <w:b/>
          <w:color w:val="231F20"/>
          <w:sz w:val="19"/>
          <w:szCs w:val="19"/>
        </w:rPr>
      </w:pPr>
      <w:r>
        <w:rPr>
          <w:rFonts w:ascii="Verdana" w:eastAsia="Verdana" w:hAnsi="Verdana" w:cs="Verdana"/>
          <w:b/>
          <w:color w:val="231F20"/>
          <w:sz w:val="19"/>
          <w:szCs w:val="19"/>
        </w:rPr>
        <w:t xml:space="preserve">Participants.  </w:t>
      </w:r>
    </w:p>
    <w:p>
      <w:pPr>
        <w:widowControl w:val="0"/>
        <w:pBdr>
          <w:top w:val="nil"/>
          <w:left w:val="nil"/>
          <w:bottom w:val="nil"/>
          <w:right w:val="nil"/>
          <w:between w:val="nil"/>
        </w:pBdr>
        <w:spacing w:before="239" w:line="239" w:lineRule="auto"/>
        <w:ind w:left="20" w:right="1127" w:hanging="6"/>
        <w:rPr>
          <w:rFonts w:ascii="Verdana" w:eastAsia="Verdana" w:hAnsi="Verdana" w:cs="Verdana"/>
          <w:color w:val="231F20"/>
          <w:sz w:val="19"/>
          <w:szCs w:val="19"/>
        </w:rPr>
      </w:pPr>
      <w:r>
        <w:rPr>
          <w:rFonts w:ascii="Verdana" w:eastAsia="Verdana" w:hAnsi="Verdana" w:cs="Verdana"/>
          <w:color w:val="231F20"/>
          <w:sz w:val="19"/>
          <w:szCs w:val="19"/>
        </w:rPr>
        <w:t xml:space="preserve">Seuls sont admis à participer aux Assemblées Générales les membres du Cercle du Zéro. Nota: La cotisation peut être réglée avant l’ouverture des débats.  </w:t>
      </w:r>
    </w:p>
    <w:p>
      <w:pPr>
        <w:widowControl w:val="0"/>
        <w:pBdr>
          <w:top w:val="nil"/>
          <w:left w:val="nil"/>
          <w:bottom w:val="nil"/>
          <w:right w:val="nil"/>
          <w:between w:val="nil"/>
        </w:pBdr>
        <w:spacing w:before="6" w:line="240" w:lineRule="auto"/>
        <w:ind w:left="20"/>
        <w:rPr>
          <w:rFonts w:ascii="Verdana" w:eastAsia="Verdana" w:hAnsi="Verdana" w:cs="Verdana"/>
          <w:color w:val="231F20"/>
          <w:sz w:val="19"/>
          <w:szCs w:val="19"/>
        </w:rPr>
      </w:pPr>
      <w:r>
        <w:rPr>
          <w:rFonts w:ascii="Verdana" w:eastAsia="Verdana" w:hAnsi="Verdana" w:cs="Verdana"/>
          <w:color w:val="231F20"/>
          <w:sz w:val="19"/>
          <w:szCs w:val="19"/>
        </w:rPr>
        <w:t xml:space="preserve">Les «non membres» ne peuvent participer sauf sur invitation du Bureau.  </w:t>
      </w:r>
    </w:p>
    <w:p>
      <w:pPr>
        <w:widowControl w:val="0"/>
        <w:pBdr>
          <w:top w:val="nil"/>
          <w:left w:val="nil"/>
          <w:bottom w:val="nil"/>
          <w:right w:val="nil"/>
          <w:between w:val="nil"/>
        </w:pBdr>
        <w:spacing w:before="239" w:line="240" w:lineRule="auto"/>
        <w:ind w:left="19"/>
        <w:rPr>
          <w:rFonts w:ascii="Verdana" w:eastAsia="Verdana" w:hAnsi="Verdana" w:cs="Verdana"/>
          <w:b/>
          <w:color w:val="231F20"/>
          <w:sz w:val="19"/>
          <w:szCs w:val="19"/>
        </w:rPr>
      </w:pPr>
      <w:r>
        <w:rPr>
          <w:rFonts w:ascii="Verdana" w:eastAsia="Verdana" w:hAnsi="Verdana" w:cs="Verdana"/>
          <w:b/>
          <w:color w:val="231F20"/>
          <w:sz w:val="19"/>
          <w:szCs w:val="19"/>
        </w:rPr>
        <w:t xml:space="preserve">Elections: </w:t>
      </w:r>
    </w:p>
    <w:p>
      <w:pPr>
        <w:widowControl w:val="0"/>
        <w:pBdr>
          <w:top w:val="nil"/>
          <w:left w:val="nil"/>
          <w:bottom w:val="nil"/>
          <w:right w:val="nil"/>
          <w:between w:val="nil"/>
        </w:pBdr>
        <w:spacing w:before="239" w:line="239" w:lineRule="auto"/>
        <w:ind w:left="11" w:firstLine="4"/>
        <w:rPr>
          <w:rFonts w:ascii="Verdana" w:eastAsia="Verdana" w:hAnsi="Verdana" w:cs="Verdana"/>
          <w:color w:val="231F20"/>
          <w:sz w:val="19"/>
          <w:szCs w:val="19"/>
        </w:rPr>
      </w:pPr>
      <w:r>
        <w:rPr>
          <w:rFonts w:ascii="Verdana" w:eastAsia="Verdana" w:hAnsi="Verdana" w:cs="Verdana"/>
          <w:color w:val="231F20"/>
          <w:sz w:val="19"/>
          <w:szCs w:val="19"/>
        </w:rPr>
        <w:t xml:space="preserve">- Sont éligibles au bureau les membres ayant plus de deux ans consécutifs d’ancienneté. - Tous les membres sont électeurs. </w:t>
      </w:r>
      <w:r>
        <w:rPr>
          <w:rFonts w:ascii="Verdana" w:eastAsia="Verdana" w:hAnsi="Verdana" w:cs="Verdana"/>
          <w:strike/>
          <w:color w:val="231F20"/>
          <w:sz w:val="19"/>
          <w:szCs w:val="19"/>
        </w:rPr>
        <w:t>Les membres inscrits dans l’année en cours ne peuvent pas donner  quitus pour les rapports de l’année passée.</w:t>
      </w:r>
      <w:r>
        <w:rPr>
          <w:rFonts w:ascii="Verdana" w:eastAsia="Verdana" w:hAnsi="Verdana" w:cs="Verdana"/>
          <w:color w:val="231F20"/>
          <w:sz w:val="19"/>
          <w:szCs w:val="19"/>
        </w:rPr>
        <w:t xml:space="preserve"> </w:t>
      </w:r>
    </w:p>
    <w:p>
      <w:pPr>
        <w:widowControl w:val="0"/>
        <w:pBdr>
          <w:top w:val="nil"/>
          <w:left w:val="nil"/>
          <w:bottom w:val="nil"/>
          <w:right w:val="nil"/>
          <w:between w:val="nil"/>
        </w:pBdr>
        <w:spacing w:before="239" w:line="239" w:lineRule="auto"/>
        <w:ind w:left="18" w:hanging="2"/>
        <w:rPr>
          <w:rFonts w:ascii="Verdana" w:eastAsia="Verdana" w:hAnsi="Verdana" w:cs="Verdana"/>
          <w:color w:val="231F20"/>
          <w:sz w:val="19"/>
          <w:szCs w:val="19"/>
        </w:rPr>
      </w:pPr>
      <w:r>
        <w:rPr>
          <w:rFonts w:ascii="Verdana" w:eastAsia="Verdana" w:hAnsi="Verdana" w:cs="Verdana"/>
          <w:color w:val="231F20"/>
          <w:sz w:val="19"/>
          <w:szCs w:val="19"/>
        </w:rPr>
        <w:t xml:space="preserve">- Vote par procuration (pouvoirs). Un membre ne peut représenter que cinq pouvoirs (Statuts article  5). Les pouvoirs «en blanc» seront répartis également entre les membres présents à l’Assemblée Générale </w:t>
      </w:r>
      <w:r>
        <w:rPr>
          <w:rFonts w:ascii="Verdana" w:eastAsia="Verdana" w:hAnsi="Verdana" w:cs="Verdana"/>
          <w:color w:val="FF0000"/>
          <w:sz w:val="19"/>
          <w:szCs w:val="19"/>
        </w:rPr>
        <w:t>(par tirage au sort)</w:t>
      </w:r>
      <w:r>
        <w:rPr>
          <w:rFonts w:ascii="Verdana" w:eastAsia="Verdana" w:hAnsi="Verdana" w:cs="Verdana"/>
          <w:color w:val="231F20"/>
          <w:sz w:val="19"/>
          <w:szCs w:val="19"/>
        </w:rPr>
        <w:t xml:space="preserve"> </w:t>
      </w:r>
    </w:p>
    <w:p>
      <w:pPr>
        <w:widowControl w:val="0"/>
        <w:pBdr>
          <w:top w:val="nil"/>
          <w:left w:val="nil"/>
          <w:bottom w:val="nil"/>
          <w:right w:val="nil"/>
          <w:between w:val="nil"/>
        </w:pBdr>
        <w:spacing w:before="239" w:line="239" w:lineRule="auto"/>
        <w:ind w:left="18" w:hanging="2"/>
        <w:rPr>
          <w:rFonts w:ascii="Verdana" w:eastAsia="Verdana" w:hAnsi="Verdana" w:cs="Verdana"/>
          <w:color w:val="FF0000"/>
          <w:sz w:val="19"/>
          <w:szCs w:val="19"/>
        </w:rPr>
      </w:pPr>
      <w:r>
        <w:rPr>
          <w:rFonts w:ascii="Verdana" w:eastAsia="Verdana" w:hAnsi="Verdana" w:cs="Verdana"/>
          <w:color w:val="FF0000"/>
          <w:sz w:val="19"/>
          <w:szCs w:val="19"/>
        </w:rPr>
        <w:t>- Un vote par voie électronique pourra être organisé</w:t>
      </w:r>
    </w:p>
    <w:p>
      <w:pPr>
        <w:widowControl w:val="0"/>
        <w:pBdr>
          <w:top w:val="nil"/>
          <w:left w:val="nil"/>
          <w:bottom w:val="nil"/>
          <w:right w:val="nil"/>
          <w:between w:val="nil"/>
        </w:pBdr>
        <w:spacing w:before="239" w:line="240" w:lineRule="auto"/>
        <w:ind w:left="15"/>
        <w:rPr>
          <w:rFonts w:ascii="Verdana" w:eastAsia="Verdana" w:hAnsi="Verdana" w:cs="Verdana"/>
          <w:color w:val="231F20"/>
          <w:sz w:val="19"/>
          <w:szCs w:val="19"/>
        </w:rPr>
      </w:pPr>
      <w:r>
        <w:rPr>
          <w:rFonts w:ascii="Verdana" w:eastAsia="Verdana" w:hAnsi="Verdana" w:cs="Verdana"/>
          <w:color w:val="231F20"/>
          <w:sz w:val="19"/>
          <w:szCs w:val="19"/>
        </w:rPr>
        <w:t xml:space="preserve">- Dépouillement : seuls les membres du Cercle du Zéro seront habilités à s’acquitter de cette tâche.  </w:t>
      </w:r>
    </w:p>
    <w:p>
      <w:pPr>
        <w:widowControl w:val="0"/>
        <w:pBdr>
          <w:top w:val="nil"/>
          <w:left w:val="nil"/>
          <w:bottom w:val="nil"/>
          <w:right w:val="nil"/>
          <w:between w:val="nil"/>
        </w:pBdr>
        <w:spacing w:before="239" w:line="239" w:lineRule="auto"/>
        <w:ind w:left="11" w:firstLine="4"/>
        <w:jc w:val="both"/>
        <w:rPr>
          <w:rFonts w:ascii="Verdana" w:eastAsia="Verdana" w:hAnsi="Verdana" w:cs="Verdana"/>
          <w:color w:val="231F20"/>
          <w:sz w:val="19"/>
          <w:szCs w:val="19"/>
        </w:rPr>
      </w:pPr>
      <w:r>
        <w:rPr>
          <w:rFonts w:ascii="Verdana" w:eastAsia="Verdana" w:hAnsi="Verdana" w:cs="Verdana"/>
          <w:color w:val="231F20"/>
          <w:sz w:val="19"/>
          <w:szCs w:val="19"/>
        </w:rPr>
        <w:t xml:space="preserve">- Rapport financier : un ou plusieurs vérificateurs aux comptes seront validés par l’Assemblée Générale.  Un rapport concernant la vérification des comptes de l’année écoulée sera lu avant que le quitus ne soit  donné au </w:t>
      </w:r>
      <w:r>
        <w:rPr>
          <w:rFonts w:ascii="Verdana" w:eastAsia="Verdana" w:hAnsi="Verdana" w:cs="Verdana"/>
          <w:strike/>
          <w:color w:val="231F20"/>
          <w:sz w:val="19"/>
          <w:szCs w:val="19"/>
        </w:rPr>
        <w:t>Bureau</w:t>
      </w:r>
      <w:r>
        <w:rPr>
          <w:rFonts w:ascii="Verdana" w:eastAsia="Verdana" w:hAnsi="Verdana" w:cs="Verdana"/>
          <w:color w:val="231F20"/>
          <w:sz w:val="19"/>
          <w:szCs w:val="19"/>
        </w:rPr>
        <w:t xml:space="preserve"> </w:t>
      </w:r>
      <w:r>
        <w:rPr>
          <w:rFonts w:ascii="Verdana" w:eastAsia="Verdana" w:hAnsi="Verdana" w:cs="Verdana"/>
          <w:color w:val="FF0000"/>
          <w:sz w:val="19"/>
          <w:szCs w:val="19"/>
        </w:rPr>
        <w:t>(trésorier)</w:t>
      </w:r>
      <w:r>
        <w:rPr>
          <w:rFonts w:ascii="Verdana" w:eastAsia="Verdana" w:hAnsi="Verdana" w:cs="Verdana"/>
          <w:color w:val="231F20"/>
          <w:sz w:val="19"/>
          <w:szCs w:val="19"/>
        </w:rPr>
        <w:t xml:space="preserve">. Ce document sera annexé au rapport de l’Assemblée Générale. </w:t>
      </w:r>
    </w:p>
    <w:p>
      <w:pPr>
        <w:widowControl w:val="0"/>
        <w:pBdr>
          <w:top w:val="nil"/>
          <w:left w:val="nil"/>
          <w:bottom w:val="nil"/>
          <w:right w:val="nil"/>
          <w:between w:val="nil"/>
        </w:pBdr>
        <w:spacing w:before="239" w:line="240" w:lineRule="auto"/>
        <w:ind w:left="10"/>
        <w:rPr>
          <w:rFonts w:ascii="Verdana" w:eastAsia="Verdana" w:hAnsi="Verdana" w:cs="Verdana"/>
          <w:b/>
          <w:color w:val="231F20"/>
          <w:sz w:val="19"/>
          <w:szCs w:val="19"/>
        </w:rPr>
      </w:pPr>
      <w:r>
        <w:rPr>
          <w:rFonts w:ascii="Verdana" w:eastAsia="Verdana" w:hAnsi="Verdana" w:cs="Verdana"/>
          <w:b/>
          <w:color w:val="231F20"/>
          <w:sz w:val="19"/>
          <w:szCs w:val="19"/>
        </w:rPr>
        <w:t xml:space="preserve">ORGANISATION DE MANIFESTATIONS </w:t>
      </w:r>
    </w:p>
    <w:p>
      <w:pPr>
        <w:widowControl w:val="0"/>
        <w:pBdr>
          <w:top w:val="nil"/>
          <w:left w:val="nil"/>
          <w:bottom w:val="nil"/>
          <w:right w:val="nil"/>
          <w:between w:val="nil"/>
        </w:pBdr>
        <w:spacing w:before="239" w:line="239" w:lineRule="auto"/>
        <w:ind w:left="18" w:hanging="2"/>
        <w:rPr>
          <w:rFonts w:ascii="Verdana" w:eastAsia="Verdana" w:hAnsi="Verdana" w:cs="Verdana"/>
          <w:color w:val="231F20"/>
          <w:sz w:val="19"/>
          <w:szCs w:val="19"/>
        </w:rPr>
      </w:pPr>
      <w:r>
        <w:rPr>
          <w:rFonts w:ascii="Verdana" w:eastAsia="Verdana" w:hAnsi="Verdana" w:cs="Verdana"/>
          <w:color w:val="231F20"/>
          <w:sz w:val="19"/>
          <w:szCs w:val="19"/>
        </w:rPr>
        <w:t xml:space="preserve">- Aucun membre ne peut organiser une manifestation au nom du Cercle du Zéro sans l’accord du bureau  Un projet et un budget prévisionnels seront déposés au préalable. </w:t>
      </w:r>
    </w:p>
    <w:p>
      <w:pPr>
        <w:widowControl w:val="0"/>
        <w:pBdr>
          <w:top w:val="nil"/>
          <w:left w:val="nil"/>
          <w:bottom w:val="nil"/>
          <w:right w:val="nil"/>
          <w:between w:val="nil"/>
        </w:pBdr>
        <w:spacing w:before="6" w:line="239" w:lineRule="auto"/>
        <w:ind w:left="11" w:firstLine="4"/>
        <w:rPr>
          <w:rFonts w:ascii="Verdana" w:eastAsia="Verdana" w:hAnsi="Verdana" w:cs="Verdana"/>
          <w:color w:val="231F20"/>
          <w:sz w:val="19"/>
          <w:szCs w:val="19"/>
        </w:rPr>
      </w:pPr>
      <w:r>
        <w:rPr>
          <w:rFonts w:ascii="Verdana" w:eastAsia="Verdana" w:hAnsi="Verdana" w:cs="Verdana"/>
          <w:color w:val="231F20"/>
          <w:sz w:val="19"/>
          <w:szCs w:val="19"/>
        </w:rPr>
        <w:t xml:space="preserve">- Au minimum deux semaines avant la date retenue, le Président devra être informé des lieux, dates,  nombre et qualités des exposants afin de faire une déclaration à notre assurance. - En cas d’entrées payantes, chaque visiteur recevra un ticket portant le tampon du Cercle ainsi que la  date. L’organisateur devra garder les souches. </w:t>
      </w:r>
    </w:p>
    <w:p>
      <w:pPr>
        <w:widowControl w:val="0"/>
        <w:pBdr>
          <w:top w:val="nil"/>
          <w:left w:val="nil"/>
          <w:bottom w:val="nil"/>
          <w:right w:val="nil"/>
          <w:between w:val="nil"/>
        </w:pBdr>
        <w:spacing w:before="6" w:line="240" w:lineRule="auto"/>
        <w:ind w:left="15"/>
        <w:rPr>
          <w:rFonts w:ascii="Verdana" w:eastAsia="Verdana" w:hAnsi="Verdana" w:cs="Verdana"/>
          <w:color w:val="231F20"/>
          <w:sz w:val="19"/>
          <w:szCs w:val="19"/>
        </w:rPr>
      </w:pPr>
      <w:r>
        <w:rPr>
          <w:rFonts w:ascii="Verdana" w:eastAsia="Verdana" w:hAnsi="Verdana" w:cs="Verdana"/>
          <w:color w:val="231F20"/>
          <w:sz w:val="19"/>
          <w:szCs w:val="19"/>
        </w:rPr>
        <w:t xml:space="preserve">- Toutes les factures seront libellées au nom du Cercle du Zéro. </w:t>
      </w:r>
    </w:p>
    <w:p>
      <w:pPr>
        <w:widowControl w:val="0"/>
        <w:pBdr>
          <w:top w:val="nil"/>
          <w:left w:val="nil"/>
          <w:bottom w:val="nil"/>
          <w:right w:val="nil"/>
          <w:between w:val="nil"/>
        </w:pBdr>
        <w:spacing w:before="472" w:line="240" w:lineRule="auto"/>
        <w:ind w:left="19"/>
        <w:rPr>
          <w:rFonts w:ascii="Verdana" w:eastAsia="Verdana" w:hAnsi="Verdana" w:cs="Verdana"/>
          <w:b/>
          <w:color w:val="231F20"/>
          <w:sz w:val="19"/>
          <w:szCs w:val="19"/>
        </w:rPr>
      </w:pPr>
      <w:r>
        <w:rPr>
          <w:rFonts w:ascii="Verdana" w:eastAsia="Verdana" w:hAnsi="Verdana" w:cs="Verdana"/>
          <w:b/>
          <w:color w:val="231F20"/>
          <w:sz w:val="19"/>
          <w:szCs w:val="19"/>
        </w:rPr>
        <w:t xml:space="preserve">REPRÉSENTATION LORS DE MANIFESTATIONS. </w:t>
      </w:r>
    </w:p>
    <w:p>
      <w:pPr>
        <w:widowControl w:val="0"/>
        <w:pBdr>
          <w:top w:val="nil"/>
          <w:left w:val="nil"/>
          <w:bottom w:val="nil"/>
          <w:right w:val="nil"/>
          <w:between w:val="nil"/>
        </w:pBdr>
        <w:spacing w:before="239" w:line="239" w:lineRule="auto"/>
        <w:ind w:left="18" w:firstLine="1"/>
        <w:rPr>
          <w:rFonts w:ascii="Verdana" w:eastAsia="Verdana" w:hAnsi="Verdana" w:cs="Verdana"/>
          <w:color w:val="231F20"/>
          <w:sz w:val="19"/>
          <w:szCs w:val="19"/>
        </w:rPr>
      </w:pPr>
      <w:r>
        <w:rPr>
          <w:rFonts w:ascii="Verdana" w:eastAsia="Verdana" w:hAnsi="Verdana" w:cs="Verdana"/>
          <w:color w:val="231F20"/>
          <w:sz w:val="19"/>
          <w:szCs w:val="19"/>
        </w:rPr>
        <w:t>Le Cercle du Zéro peut, sur simple demande, mettre à disposition des membres une signalétique type ou  personnalisée. Seuls les visuels approuvés par le Bureau peuvent être utilisés.</w:t>
      </w:r>
    </w:p>
    <w:p>
      <w:pPr>
        <w:widowControl w:val="0"/>
        <w:pBdr>
          <w:top w:val="nil"/>
          <w:left w:val="nil"/>
          <w:bottom w:val="nil"/>
          <w:right w:val="nil"/>
          <w:between w:val="nil"/>
        </w:pBdr>
        <w:spacing w:before="239" w:line="240" w:lineRule="auto"/>
        <w:ind w:left="19"/>
        <w:rPr>
          <w:rFonts w:ascii="Verdana" w:eastAsia="Verdana" w:hAnsi="Verdana" w:cs="Verdana"/>
          <w:b/>
          <w:color w:val="231F20"/>
          <w:sz w:val="19"/>
          <w:szCs w:val="19"/>
        </w:rPr>
      </w:pPr>
      <w:r>
        <w:rPr>
          <w:rFonts w:ascii="Verdana" w:eastAsia="Verdana" w:hAnsi="Verdana" w:cs="Verdana"/>
          <w:b/>
          <w:color w:val="231F20"/>
          <w:sz w:val="19"/>
          <w:szCs w:val="19"/>
        </w:rPr>
        <w:t xml:space="preserve">BOUTIQUE  </w:t>
      </w:r>
    </w:p>
    <w:p>
      <w:pPr>
        <w:widowControl w:val="0"/>
        <w:pBdr>
          <w:top w:val="nil"/>
          <w:left w:val="nil"/>
          <w:bottom w:val="nil"/>
          <w:right w:val="nil"/>
          <w:between w:val="nil"/>
        </w:pBdr>
        <w:spacing w:before="239" w:line="239" w:lineRule="auto"/>
        <w:ind w:left="6" w:right="83" w:firstLine="13"/>
        <w:rPr>
          <w:rFonts w:ascii="Verdana" w:eastAsia="Verdana" w:hAnsi="Verdana" w:cs="Verdana"/>
          <w:color w:val="231F20"/>
          <w:sz w:val="19"/>
          <w:szCs w:val="19"/>
        </w:rPr>
      </w:pPr>
      <w:r>
        <w:rPr>
          <w:rFonts w:ascii="Verdana" w:eastAsia="Verdana" w:hAnsi="Verdana" w:cs="Verdana"/>
          <w:color w:val="231F20"/>
          <w:sz w:val="19"/>
          <w:szCs w:val="19"/>
        </w:rPr>
        <w:t xml:space="preserve">La boutique met à disposition des fournitures et outillages en rapport avec l’activité du Cercle. Ces fournitures concernent des produits achetés en quantité, ou introuvables dans le commerce. Elle peut exceptionnellement proposer des reliquats de projets communs, ou gérer un achat commun. Le gérant de la boutique est proposé par le bureau et validé par l’Assemblée Générale. Il n’est pas obligatoirement membre du Bureau. </w:t>
      </w:r>
    </w:p>
    <w:p>
      <w:pPr>
        <w:widowControl w:val="0"/>
        <w:pBdr>
          <w:top w:val="nil"/>
          <w:left w:val="nil"/>
          <w:bottom w:val="nil"/>
          <w:right w:val="nil"/>
          <w:between w:val="nil"/>
        </w:pBdr>
        <w:spacing w:before="6" w:line="239" w:lineRule="auto"/>
        <w:ind w:left="18" w:hanging="14"/>
        <w:rPr>
          <w:rFonts w:ascii="Verdana" w:eastAsia="Verdana" w:hAnsi="Verdana" w:cs="Verdana"/>
          <w:color w:val="231F20"/>
          <w:sz w:val="19"/>
          <w:szCs w:val="19"/>
        </w:rPr>
      </w:pPr>
      <w:r>
        <w:rPr>
          <w:rFonts w:ascii="Verdana" w:eastAsia="Verdana" w:hAnsi="Verdana" w:cs="Verdana"/>
          <w:color w:val="231F20"/>
          <w:sz w:val="19"/>
          <w:szCs w:val="19"/>
        </w:rPr>
        <w:t>A la fin de chaque exercice ou sur demande du Trésorier ou d’un membre du bureau</w:t>
      </w:r>
      <w:proofErr w:type="gramStart"/>
      <w:r>
        <w:rPr>
          <w:rFonts w:ascii="Verdana" w:eastAsia="Verdana" w:hAnsi="Verdana" w:cs="Verdana"/>
          <w:color w:val="231F20"/>
          <w:sz w:val="19"/>
          <w:szCs w:val="19"/>
        </w:rPr>
        <w:t>, ,</w:t>
      </w:r>
      <w:proofErr w:type="gramEnd"/>
      <w:r>
        <w:rPr>
          <w:rFonts w:ascii="Verdana" w:eastAsia="Verdana" w:hAnsi="Verdana" w:cs="Verdana"/>
          <w:color w:val="231F20"/>
          <w:sz w:val="19"/>
          <w:szCs w:val="19"/>
        </w:rPr>
        <w:t xml:space="preserve"> il devra fournir un  rapport d’activité et financier. </w:t>
      </w:r>
    </w:p>
    <w:p>
      <w:pPr>
        <w:widowControl w:val="0"/>
        <w:pBdr>
          <w:top w:val="nil"/>
          <w:left w:val="nil"/>
          <w:bottom w:val="nil"/>
          <w:right w:val="nil"/>
          <w:between w:val="nil"/>
        </w:pBdr>
        <w:spacing w:before="6" w:line="239" w:lineRule="auto"/>
        <w:ind w:left="11" w:firstLine="9"/>
        <w:rPr>
          <w:rFonts w:ascii="Verdana" w:eastAsia="Verdana" w:hAnsi="Verdana" w:cs="Verdana"/>
          <w:color w:val="231F20"/>
          <w:sz w:val="19"/>
          <w:szCs w:val="19"/>
        </w:rPr>
      </w:pPr>
      <w:r>
        <w:rPr>
          <w:rFonts w:ascii="Verdana" w:eastAsia="Verdana" w:hAnsi="Verdana" w:cs="Verdana"/>
          <w:color w:val="231F20"/>
          <w:sz w:val="19"/>
          <w:szCs w:val="19"/>
        </w:rPr>
        <w:t xml:space="preserve">Le gérant de la boutique n’est pas habilité à passer des commandes sans l’accord du Bureau. Il peut  prospecter, faire des appels d'offres, et demander des devis au nom du Cercle du Zéro.  Seuls les </w:t>
      </w:r>
      <w:r>
        <w:rPr>
          <w:rFonts w:ascii="Verdana" w:eastAsia="Verdana" w:hAnsi="Verdana" w:cs="Verdana"/>
          <w:color w:val="231F20"/>
          <w:sz w:val="19"/>
          <w:szCs w:val="19"/>
        </w:rPr>
        <w:lastRenderedPageBreak/>
        <w:t xml:space="preserve">membres du Cercle du Zéro peuvent bénéficier de la boutique. Les Associations affiliées peuvent  commander pour leurs membres. </w:t>
      </w:r>
    </w:p>
    <w:p>
      <w:pPr>
        <w:widowControl w:val="0"/>
        <w:pBdr>
          <w:top w:val="nil"/>
          <w:left w:val="nil"/>
          <w:bottom w:val="nil"/>
          <w:right w:val="nil"/>
          <w:between w:val="nil"/>
        </w:pBdr>
        <w:spacing w:line="239" w:lineRule="auto"/>
        <w:ind w:left="18" w:firstLine="1"/>
        <w:rPr>
          <w:rFonts w:ascii="Verdana" w:eastAsia="Verdana" w:hAnsi="Verdana" w:cs="Verdana"/>
          <w:color w:val="231F20"/>
          <w:sz w:val="19"/>
          <w:szCs w:val="19"/>
        </w:rPr>
      </w:pPr>
      <w:r>
        <w:rPr>
          <w:rFonts w:ascii="Verdana" w:eastAsia="Verdana" w:hAnsi="Verdana" w:cs="Verdana"/>
          <w:color w:val="231F20"/>
          <w:sz w:val="19"/>
          <w:szCs w:val="19"/>
        </w:rPr>
        <w:t xml:space="preserve">La boutique fonctionne par correspondance ou lors de la présence du gérant ou d’un membre habilité  pendant une manifestation ou une réunion. </w:t>
      </w:r>
    </w:p>
    <w:p>
      <w:pPr>
        <w:widowControl w:val="0"/>
        <w:pBdr>
          <w:top w:val="nil"/>
          <w:left w:val="nil"/>
          <w:bottom w:val="nil"/>
          <w:right w:val="nil"/>
          <w:between w:val="nil"/>
        </w:pBdr>
        <w:spacing w:before="6" w:line="239" w:lineRule="auto"/>
        <w:ind w:left="11" w:firstLine="8"/>
        <w:jc w:val="both"/>
        <w:rPr>
          <w:rFonts w:ascii="Verdana" w:eastAsia="Verdana" w:hAnsi="Verdana" w:cs="Verdana"/>
          <w:color w:val="231F20"/>
          <w:sz w:val="19"/>
          <w:szCs w:val="19"/>
        </w:rPr>
      </w:pPr>
      <w:r>
        <w:rPr>
          <w:rFonts w:ascii="Verdana" w:eastAsia="Verdana" w:hAnsi="Verdana" w:cs="Verdana"/>
          <w:color w:val="231F20"/>
          <w:sz w:val="19"/>
          <w:szCs w:val="19"/>
        </w:rPr>
        <w:t xml:space="preserve">La vente au public est autorisée au cours d’une manifestation </w:t>
      </w:r>
      <w:r>
        <w:rPr>
          <w:rFonts w:ascii="Verdana" w:eastAsia="Verdana" w:hAnsi="Verdana" w:cs="Verdana"/>
          <w:strike/>
          <w:color w:val="231F20"/>
          <w:sz w:val="19"/>
          <w:szCs w:val="19"/>
        </w:rPr>
        <w:t>deux</w:t>
      </w:r>
      <w:r>
        <w:rPr>
          <w:rFonts w:ascii="Verdana" w:eastAsia="Verdana" w:hAnsi="Verdana" w:cs="Verdana"/>
          <w:color w:val="231F20"/>
          <w:sz w:val="19"/>
          <w:szCs w:val="19"/>
        </w:rPr>
        <w:t xml:space="preserve"> fois par an, après accord du Bureau  et de l’organisateur de la manifestation. Dans ce cas, les prix de vente ne peuvent être ni majorés ni  minorés. </w:t>
      </w:r>
    </w:p>
    <w:p>
      <w:pPr>
        <w:widowControl w:val="0"/>
        <w:pBdr>
          <w:top w:val="nil"/>
          <w:left w:val="nil"/>
          <w:bottom w:val="nil"/>
          <w:right w:val="nil"/>
          <w:between w:val="nil"/>
        </w:pBdr>
        <w:spacing w:before="6" w:line="239" w:lineRule="auto"/>
        <w:ind w:left="6" w:firstLine="13"/>
        <w:rPr>
          <w:rFonts w:ascii="Verdana" w:eastAsia="Verdana" w:hAnsi="Verdana" w:cs="Verdana"/>
          <w:color w:val="231F20"/>
          <w:sz w:val="19"/>
          <w:szCs w:val="19"/>
        </w:rPr>
      </w:pPr>
      <w:r>
        <w:rPr>
          <w:rFonts w:ascii="Verdana" w:eastAsia="Verdana" w:hAnsi="Verdana" w:cs="Verdana"/>
          <w:color w:val="231F20"/>
          <w:sz w:val="19"/>
          <w:szCs w:val="19"/>
        </w:rPr>
        <w:t xml:space="preserve">Les règlements seront effectués par chèques au nom du Cercle du Zéro, </w:t>
      </w:r>
      <w:r>
        <w:rPr>
          <w:rFonts w:ascii="Verdana" w:eastAsia="Verdana" w:hAnsi="Verdana" w:cs="Verdana"/>
          <w:strike/>
          <w:color w:val="231F20"/>
          <w:sz w:val="19"/>
          <w:szCs w:val="19"/>
        </w:rPr>
        <w:t>ou en espèces</w:t>
      </w:r>
      <w:r>
        <w:rPr>
          <w:rFonts w:ascii="Verdana" w:eastAsia="Verdana" w:hAnsi="Verdana" w:cs="Verdana"/>
          <w:color w:val="231F20"/>
          <w:sz w:val="19"/>
          <w:szCs w:val="19"/>
        </w:rPr>
        <w:t xml:space="preserve">. Une facture sera  toujours établie. </w:t>
      </w:r>
    </w:p>
    <w:p>
      <w:pPr>
        <w:widowControl w:val="0"/>
        <w:pBdr>
          <w:top w:val="nil"/>
          <w:left w:val="nil"/>
          <w:bottom w:val="nil"/>
          <w:right w:val="nil"/>
          <w:between w:val="nil"/>
        </w:pBdr>
        <w:spacing w:before="6" w:line="239" w:lineRule="auto"/>
        <w:ind w:left="11" w:firstLine="8"/>
        <w:rPr>
          <w:rFonts w:ascii="Verdana" w:eastAsia="Verdana" w:hAnsi="Verdana" w:cs="Verdana"/>
          <w:color w:val="231F20"/>
          <w:sz w:val="19"/>
          <w:szCs w:val="19"/>
        </w:rPr>
      </w:pPr>
      <w:r>
        <w:rPr>
          <w:rFonts w:ascii="Verdana" w:eastAsia="Verdana" w:hAnsi="Verdana" w:cs="Verdana"/>
          <w:color w:val="231F20"/>
          <w:sz w:val="19"/>
          <w:szCs w:val="19"/>
        </w:rPr>
        <w:t xml:space="preserve">Le gérant de la boutique ne peut en aucun cas être tenu responsable d’une rupture de stock, d’un délai  de livraison non tenu, ou de la perte d’un colis par les services postaux. </w:t>
      </w:r>
    </w:p>
    <w:p>
      <w:pPr>
        <w:widowControl w:val="0"/>
        <w:pBdr>
          <w:top w:val="nil"/>
          <w:left w:val="nil"/>
          <w:bottom w:val="nil"/>
          <w:right w:val="nil"/>
          <w:between w:val="nil"/>
        </w:pBdr>
        <w:spacing w:before="6" w:line="239" w:lineRule="auto"/>
        <w:ind w:left="18" w:right="83" w:firstLine="1"/>
        <w:rPr>
          <w:rFonts w:ascii="Verdana" w:eastAsia="Verdana" w:hAnsi="Verdana" w:cs="Verdana"/>
          <w:color w:val="231F20"/>
          <w:sz w:val="19"/>
          <w:szCs w:val="19"/>
        </w:rPr>
      </w:pPr>
      <w:r>
        <w:rPr>
          <w:rFonts w:ascii="Verdana" w:eastAsia="Verdana" w:hAnsi="Verdana" w:cs="Verdana"/>
          <w:color w:val="231F20"/>
          <w:sz w:val="19"/>
          <w:szCs w:val="19"/>
        </w:rPr>
        <w:t xml:space="preserve">Les commandes sont validées dès que le règlement est parvenu au Gérant. Pas de commande par téléphone. </w:t>
      </w:r>
    </w:p>
    <w:p>
      <w:pPr>
        <w:widowControl w:val="0"/>
        <w:pBdr>
          <w:top w:val="nil"/>
          <w:left w:val="nil"/>
          <w:bottom w:val="nil"/>
          <w:right w:val="nil"/>
          <w:between w:val="nil"/>
        </w:pBdr>
        <w:spacing w:before="6" w:line="239" w:lineRule="auto"/>
        <w:ind w:left="11" w:firstLine="8"/>
        <w:rPr>
          <w:rFonts w:ascii="Verdana" w:eastAsia="Verdana" w:hAnsi="Verdana" w:cs="Verdana"/>
          <w:strike/>
          <w:color w:val="231F20"/>
          <w:sz w:val="19"/>
          <w:szCs w:val="19"/>
        </w:rPr>
      </w:pPr>
      <w:r>
        <w:rPr>
          <w:rFonts w:ascii="Verdana" w:eastAsia="Verdana" w:hAnsi="Verdana" w:cs="Verdana"/>
          <w:strike/>
          <w:color w:val="231F20"/>
          <w:sz w:val="19"/>
          <w:szCs w:val="19"/>
        </w:rPr>
        <w:t xml:space="preserve">Les envois se font en courrier simple, non recommandé. Un envoi recommandé est envisageable sur  demande, mais les frais seront à la charge du «client». </w:t>
      </w:r>
    </w:p>
    <w:p>
      <w:pPr>
        <w:widowControl w:val="0"/>
        <w:pBdr>
          <w:top w:val="nil"/>
          <w:left w:val="nil"/>
          <w:bottom w:val="nil"/>
          <w:right w:val="nil"/>
          <w:between w:val="nil"/>
        </w:pBdr>
        <w:spacing w:before="6" w:line="239" w:lineRule="auto"/>
        <w:ind w:left="11" w:right="1" w:firstLine="9"/>
        <w:rPr>
          <w:rFonts w:ascii="Verdana" w:eastAsia="Verdana" w:hAnsi="Verdana" w:cs="Verdana"/>
          <w:strike/>
          <w:color w:val="231F20"/>
          <w:sz w:val="19"/>
          <w:szCs w:val="19"/>
        </w:rPr>
      </w:pPr>
      <w:r>
        <w:rPr>
          <w:rFonts w:ascii="Verdana" w:eastAsia="Verdana" w:hAnsi="Verdana" w:cs="Verdana"/>
          <w:strike/>
          <w:color w:val="231F20"/>
          <w:sz w:val="19"/>
          <w:szCs w:val="19"/>
        </w:rPr>
        <w:t xml:space="preserve">En cas de rupture de stock, le Cercle du Zéro peut procéder à un remboursement, proposer un avoir, ou  annuler la commande.  </w:t>
      </w:r>
    </w:p>
    <w:p>
      <w:pPr>
        <w:widowControl w:val="0"/>
        <w:pBdr>
          <w:top w:val="nil"/>
          <w:left w:val="nil"/>
          <w:bottom w:val="nil"/>
          <w:right w:val="nil"/>
          <w:between w:val="nil"/>
        </w:pBdr>
        <w:spacing w:before="6" w:line="240" w:lineRule="auto"/>
        <w:ind w:left="20"/>
        <w:rPr>
          <w:rFonts w:ascii="Verdana" w:eastAsia="Verdana" w:hAnsi="Verdana" w:cs="Verdana"/>
          <w:strike/>
          <w:color w:val="231F20"/>
          <w:sz w:val="19"/>
          <w:szCs w:val="19"/>
        </w:rPr>
      </w:pPr>
      <w:r>
        <w:rPr>
          <w:rFonts w:ascii="Verdana" w:eastAsia="Verdana" w:hAnsi="Verdana" w:cs="Verdana"/>
          <w:strike/>
          <w:color w:val="231F20"/>
          <w:sz w:val="19"/>
          <w:szCs w:val="19"/>
        </w:rPr>
        <w:t xml:space="preserve">Les envois se font franco de port. </w:t>
      </w:r>
    </w:p>
    <w:p>
      <w:pPr>
        <w:widowControl w:val="0"/>
        <w:pBdr>
          <w:top w:val="nil"/>
          <w:left w:val="nil"/>
          <w:bottom w:val="nil"/>
          <w:right w:val="nil"/>
          <w:between w:val="nil"/>
        </w:pBdr>
        <w:spacing w:before="706" w:line="240" w:lineRule="auto"/>
        <w:ind w:left="12"/>
        <w:rPr>
          <w:rFonts w:ascii="Verdana" w:eastAsia="Verdana" w:hAnsi="Verdana" w:cs="Verdana"/>
          <w:b/>
          <w:color w:val="231F20"/>
          <w:sz w:val="19"/>
          <w:szCs w:val="19"/>
        </w:rPr>
      </w:pPr>
      <w:r>
        <w:rPr>
          <w:rFonts w:ascii="Verdana" w:eastAsia="Verdana" w:hAnsi="Verdana" w:cs="Verdana"/>
          <w:b/>
          <w:color w:val="231F20"/>
          <w:sz w:val="19"/>
          <w:szCs w:val="19"/>
        </w:rPr>
        <w:t xml:space="preserve">INDEMNISATION DES FRAIS  </w:t>
      </w:r>
    </w:p>
    <w:p>
      <w:pPr>
        <w:widowControl w:val="0"/>
        <w:pBdr>
          <w:top w:val="nil"/>
          <w:left w:val="nil"/>
          <w:bottom w:val="nil"/>
          <w:right w:val="nil"/>
          <w:between w:val="nil"/>
        </w:pBdr>
        <w:spacing w:before="239" w:line="239" w:lineRule="auto"/>
        <w:ind w:left="18" w:right="83" w:hanging="6"/>
        <w:rPr>
          <w:rFonts w:ascii="Verdana" w:eastAsia="Verdana" w:hAnsi="Verdana" w:cs="Verdana"/>
          <w:color w:val="231F20"/>
          <w:sz w:val="19"/>
          <w:szCs w:val="19"/>
        </w:rPr>
      </w:pPr>
      <w:r>
        <w:rPr>
          <w:rFonts w:ascii="Verdana" w:eastAsia="Verdana" w:hAnsi="Verdana" w:cs="Verdana"/>
          <w:color w:val="231F20"/>
          <w:sz w:val="19"/>
          <w:szCs w:val="19"/>
        </w:rPr>
        <w:t xml:space="preserve">Concerne les adhérents du Cercle du Zéro menant des actions bénévoles pour le fonctionnement et l'animation du Cercle.  </w:t>
      </w:r>
    </w:p>
    <w:p>
      <w:pPr>
        <w:widowControl w:val="0"/>
        <w:pBdr>
          <w:top w:val="nil"/>
          <w:left w:val="nil"/>
          <w:bottom w:val="nil"/>
          <w:right w:val="nil"/>
          <w:between w:val="nil"/>
        </w:pBdr>
        <w:spacing w:before="239" w:line="240" w:lineRule="auto"/>
        <w:ind w:left="19"/>
        <w:rPr>
          <w:rFonts w:ascii="Verdana" w:eastAsia="Verdana" w:hAnsi="Verdana" w:cs="Verdana"/>
          <w:b/>
          <w:color w:val="231F20"/>
          <w:sz w:val="19"/>
          <w:szCs w:val="19"/>
        </w:rPr>
      </w:pPr>
      <w:r>
        <w:rPr>
          <w:rFonts w:ascii="Verdana" w:eastAsia="Verdana" w:hAnsi="Verdana" w:cs="Verdana"/>
          <w:b/>
          <w:color w:val="231F20"/>
          <w:sz w:val="19"/>
          <w:szCs w:val="19"/>
        </w:rPr>
        <w:t xml:space="preserve">Préambule :  </w:t>
      </w:r>
    </w:p>
    <w:p>
      <w:pPr>
        <w:widowControl w:val="0"/>
        <w:pBdr>
          <w:top w:val="nil"/>
          <w:left w:val="nil"/>
          <w:bottom w:val="nil"/>
          <w:right w:val="nil"/>
          <w:between w:val="nil"/>
        </w:pBdr>
        <w:spacing w:before="239" w:line="239" w:lineRule="auto"/>
        <w:ind w:left="18" w:right="1" w:firstLine="1"/>
        <w:rPr>
          <w:rFonts w:ascii="Verdana" w:eastAsia="Verdana" w:hAnsi="Verdana" w:cs="Verdana"/>
          <w:color w:val="231F20"/>
          <w:sz w:val="19"/>
          <w:szCs w:val="19"/>
        </w:rPr>
      </w:pPr>
      <w:r>
        <w:rPr>
          <w:rFonts w:ascii="Verdana" w:eastAsia="Verdana" w:hAnsi="Verdana" w:cs="Verdana"/>
          <w:color w:val="231F20"/>
          <w:sz w:val="19"/>
          <w:szCs w:val="19"/>
        </w:rPr>
        <w:t xml:space="preserve">Lorsque des membres du Cercle du Zéro engagent des frais pour le compte du Cercle du Zéro, il est  normal qu’ils en soient indemnisés. Le présent document a pour but de fixer les règles d’indemnisation.  Il est rappelé que les adhérents ne peuvent engager de frais (sauf nécessité particulière) qu’après accord  du Président du Cercle ou du Bureau (représenté par l’un de ses membres).  </w:t>
      </w:r>
    </w:p>
    <w:p>
      <w:pPr>
        <w:widowControl w:val="0"/>
        <w:pBdr>
          <w:top w:val="nil"/>
          <w:left w:val="nil"/>
          <w:bottom w:val="nil"/>
          <w:right w:val="nil"/>
          <w:between w:val="nil"/>
        </w:pBdr>
        <w:spacing w:before="6" w:line="239" w:lineRule="auto"/>
        <w:ind w:left="7" w:right="1" w:firstLine="12"/>
        <w:rPr>
          <w:rFonts w:ascii="Verdana" w:eastAsia="Verdana" w:hAnsi="Verdana" w:cs="Verdana"/>
          <w:color w:val="231F20"/>
          <w:sz w:val="19"/>
          <w:szCs w:val="19"/>
        </w:rPr>
      </w:pPr>
      <w:r>
        <w:rPr>
          <w:rFonts w:ascii="Verdana" w:eastAsia="Verdana" w:hAnsi="Verdana" w:cs="Verdana"/>
          <w:color w:val="231F20"/>
          <w:sz w:val="19"/>
          <w:szCs w:val="19"/>
        </w:rPr>
        <w:t xml:space="preserve">Enfin, conformément à la législation actuellement en vigueur, l’indemnisation des frais engagés peut se  faire  soit :  </w:t>
      </w:r>
    </w:p>
    <w:p>
      <w:pPr>
        <w:widowControl w:val="0"/>
        <w:pBdr>
          <w:top w:val="nil"/>
          <w:left w:val="nil"/>
          <w:bottom w:val="nil"/>
          <w:right w:val="nil"/>
          <w:between w:val="nil"/>
        </w:pBdr>
        <w:spacing w:before="6" w:line="240" w:lineRule="auto"/>
        <w:ind w:left="15"/>
        <w:rPr>
          <w:rFonts w:ascii="Verdana" w:eastAsia="Verdana" w:hAnsi="Verdana" w:cs="Verdana"/>
          <w:color w:val="231F20"/>
          <w:sz w:val="19"/>
          <w:szCs w:val="19"/>
        </w:rPr>
      </w:pPr>
      <w:r>
        <w:rPr>
          <w:rFonts w:ascii="Verdana" w:eastAsia="Verdana" w:hAnsi="Verdana" w:cs="Verdana"/>
          <w:color w:val="231F20"/>
          <w:sz w:val="19"/>
          <w:szCs w:val="19"/>
        </w:rPr>
        <w:t xml:space="preserve">- par remboursement des sommes (paragraphe 3.A)  </w:t>
      </w:r>
    </w:p>
    <w:p>
      <w:pPr>
        <w:widowControl w:val="0"/>
        <w:pBdr>
          <w:top w:val="nil"/>
          <w:left w:val="nil"/>
          <w:bottom w:val="nil"/>
          <w:right w:val="nil"/>
          <w:between w:val="nil"/>
        </w:pBdr>
        <w:spacing w:before="6" w:line="240" w:lineRule="auto"/>
        <w:ind w:left="15"/>
        <w:rPr>
          <w:rFonts w:ascii="Verdana" w:eastAsia="Verdana" w:hAnsi="Verdana" w:cs="Verdana"/>
          <w:color w:val="231F20"/>
          <w:sz w:val="19"/>
          <w:szCs w:val="19"/>
        </w:rPr>
      </w:pPr>
      <w:r>
        <w:rPr>
          <w:rFonts w:ascii="Verdana" w:eastAsia="Verdana" w:hAnsi="Verdana" w:cs="Verdana"/>
          <w:color w:val="231F20"/>
          <w:sz w:val="19"/>
          <w:szCs w:val="19"/>
        </w:rPr>
        <w:t xml:space="preserve">- par contribution volontaire (paragraphe 3.B).  </w:t>
      </w:r>
    </w:p>
    <w:p>
      <w:pPr>
        <w:widowControl w:val="0"/>
        <w:pBdr>
          <w:top w:val="nil"/>
          <w:left w:val="nil"/>
          <w:bottom w:val="nil"/>
          <w:right w:val="nil"/>
          <w:between w:val="nil"/>
        </w:pBdr>
        <w:spacing w:before="6" w:line="239" w:lineRule="auto"/>
        <w:ind w:left="6" w:right="83" w:firstLine="13"/>
        <w:rPr>
          <w:rFonts w:ascii="Verdana" w:eastAsia="Verdana" w:hAnsi="Verdana" w:cs="Verdana"/>
          <w:color w:val="231F20"/>
          <w:sz w:val="19"/>
          <w:szCs w:val="19"/>
        </w:rPr>
      </w:pPr>
      <w:r>
        <w:rPr>
          <w:rFonts w:ascii="Verdana" w:eastAsia="Verdana" w:hAnsi="Verdana" w:cs="Verdana"/>
          <w:color w:val="231F20"/>
          <w:sz w:val="19"/>
          <w:szCs w:val="19"/>
        </w:rPr>
        <w:t xml:space="preserve">Pour la bonne santé financière du Cercle du Zéro, il est préférable de favoriser la contribution volontaire. </w:t>
      </w:r>
    </w:p>
    <w:p>
      <w:pPr>
        <w:widowControl w:val="0"/>
        <w:pBdr>
          <w:top w:val="nil"/>
          <w:left w:val="nil"/>
          <w:bottom w:val="nil"/>
          <w:right w:val="nil"/>
          <w:between w:val="nil"/>
        </w:pBdr>
        <w:spacing w:before="239" w:line="240" w:lineRule="auto"/>
        <w:ind w:left="26"/>
        <w:rPr>
          <w:rFonts w:ascii="Verdana" w:eastAsia="Verdana" w:hAnsi="Verdana" w:cs="Verdana"/>
          <w:b/>
          <w:color w:val="231F20"/>
          <w:sz w:val="19"/>
          <w:szCs w:val="19"/>
        </w:rPr>
      </w:pPr>
      <w:r>
        <w:rPr>
          <w:rFonts w:ascii="Verdana" w:eastAsia="Verdana" w:hAnsi="Verdana" w:cs="Verdana"/>
          <w:b/>
          <w:color w:val="231F20"/>
          <w:sz w:val="19"/>
          <w:szCs w:val="19"/>
        </w:rPr>
        <w:t xml:space="preserve">1 - Généralités :  </w:t>
      </w:r>
    </w:p>
    <w:p>
      <w:pPr>
        <w:widowControl w:val="0"/>
        <w:pBdr>
          <w:top w:val="nil"/>
          <w:left w:val="nil"/>
          <w:bottom w:val="nil"/>
          <w:right w:val="nil"/>
          <w:between w:val="nil"/>
        </w:pBdr>
        <w:spacing w:before="6" w:line="240" w:lineRule="auto"/>
        <w:ind w:left="20"/>
        <w:rPr>
          <w:rFonts w:ascii="Verdana" w:eastAsia="Verdana" w:hAnsi="Verdana" w:cs="Verdana"/>
          <w:color w:val="231F20"/>
          <w:sz w:val="19"/>
          <w:szCs w:val="19"/>
        </w:rPr>
      </w:pPr>
      <w:r>
        <w:rPr>
          <w:rFonts w:ascii="Verdana" w:eastAsia="Verdana" w:hAnsi="Verdana" w:cs="Verdana"/>
          <w:color w:val="231F20"/>
          <w:sz w:val="19"/>
          <w:szCs w:val="19"/>
        </w:rPr>
        <w:t xml:space="preserve">Les frais indemnisables doivent répondre aux impératifs suivants : </w:t>
      </w:r>
    </w:p>
    <w:p>
      <w:pPr>
        <w:widowControl w:val="0"/>
        <w:pBdr>
          <w:top w:val="nil"/>
          <w:left w:val="nil"/>
          <w:bottom w:val="nil"/>
          <w:right w:val="nil"/>
          <w:between w:val="nil"/>
        </w:pBdr>
        <w:spacing w:before="6" w:line="239" w:lineRule="auto"/>
        <w:ind w:left="11" w:right="83" w:firstLine="4"/>
        <w:rPr>
          <w:rFonts w:ascii="Verdana" w:eastAsia="Verdana" w:hAnsi="Verdana" w:cs="Verdana"/>
          <w:color w:val="231F20"/>
          <w:sz w:val="19"/>
          <w:szCs w:val="19"/>
        </w:rPr>
      </w:pPr>
      <w:r>
        <w:rPr>
          <w:rFonts w:ascii="Verdana" w:eastAsia="Verdana" w:hAnsi="Verdana" w:cs="Verdana"/>
          <w:color w:val="231F20"/>
          <w:sz w:val="19"/>
          <w:szCs w:val="19"/>
        </w:rPr>
        <w:t xml:space="preserve">- Respecter les directives et réglementations fiscales et de l’URSSAF en ce qui concerne le bénévolat. - Correspondre à des missions actées et nominatives du Conseil d’Administration ou des Délégués Régionaux. </w:t>
      </w:r>
    </w:p>
    <w:p>
      <w:pPr>
        <w:widowControl w:val="0"/>
        <w:pBdr>
          <w:top w:val="nil"/>
          <w:left w:val="nil"/>
          <w:bottom w:val="nil"/>
          <w:right w:val="nil"/>
          <w:between w:val="nil"/>
        </w:pBdr>
        <w:spacing w:before="6" w:line="240" w:lineRule="auto"/>
        <w:ind w:left="15"/>
        <w:rPr>
          <w:rFonts w:ascii="Verdana" w:eastAsia="Verdana" w:hAnsi="Verdana" w:cs="Verdana"/>
          <w:color w:val="231F20"/>
          <w:sz w:val="19"/>
          <w:szCs w:val="19"/>
        </w:rPr>
      </w:pPr>
      <w:r>
        <w:rPr>
          <w:rFonts w:ascii="Verdana" w:eastAsia="Verdana" w:hAnsi="Verdana" w:cs="Verdana"/>
          <w:color w:val="231F20"/>
          <w:sz w:val="19"/>
          <w:szCs w:val="19"/>
        </w:rPr>
        <w:t xml:space="preserve">- S’adapter aux conditions de différentes activités et de situations. </w:t>
      </w:r>
    </w:p>
    <w:p>
      <w:pPr>
        <w:widowControl w:val="0"/>
        <w:pBdr>
          <w:top w:val="nil"/>
          <w:left w:val="nil"/>
          <w:bottom w:val="nil"/>
          <w:right w:val="nil"/>
          <w:between w:val="nil"/>
        </w:pBdr>
        <w:spacing w:before="6" w:line="239" w:lineRule="auto"/>
        <w:ind w:left="1" w:right="2145" w:firstLine="14"/>
        <w:rPr>
          <w:rFonts w:ascii="Verdana" w:eastAsia="Verdana" w:hAnsi="Verdana" w:cs="Verdana"/>
          <w:color w:val="231F20"/>
          <w:sz w:val="19"/>
          <w:szCs w:val="19"/>
        </w:rPr>
      </w:pPr>
      <w:r>
        <w:rPr>
          <w:rFonts w:ascii="Verdana" w:eastAsia="Verdana" w:hAnsi="Verdana" w:cs="Verdana"/>
          <w:color w:val="231F20"/>
          <w:sz w:val="19"/>
          <w:szCs w:val="19"/>
        </w:rPr>
        <w:t xml:space="preserve">- Appliquer un traitement égal à tous les bénévoles qu’ils soient dirigeants ou non.  Faciliter les opérations de trésorerie  </w:t>
      </w:r>
    </w:p>
    <w:p>
      <w:pPr>
        <w:widowControl w:val="0"/>
        <w:pBdr>
          <w:top w:val="nil"/>
          <w:left w:val="nil"/>
          <w:bottom w:val="nil"/>
          <w:right w:val="nil"/>
          <w:between w:val="nil"/>
        </w:pBdr>
        <w:spacing w:before="239" w:line="240" w:lineRule="auto"/>
        <w:ind w:left="18"/>
        <w:rPr>
          <w:rFonts w:ascii="Verdana" w:eastAsia="Verdana" w:hAnsi="Verdana" w:cs="Verdana"/>
          <w:b/>
          <w:color w:val="231F20"/>
          <w:sz w:val="19"/>
          <w:szCs w:val="19"/>
        </w:rPr>
      </w:pPr>
      <w:r>
        <w:rPr>
          <w:rFonts w:ascii="Verdana" w:eastAsia="Verdana" w:hAnsi="Verdana" w:cs="Verdana"/>
          <w:b/>
          <w:color w:val="231F20"/>
          <w:sz w:val="19"/>
          <w:szCs w:val="19"/>
        </w:rPr>
        <w:t xml:space="preserve">2 - Cas pouvant ouvrir à indemnisation :  </w:t>
      </w:r>
    </w:p>
    <w:p>
      <w:pPr>
        <w:widowControl w:val="0"/>
        <w:pBdr>
          <w:top w:val="nil"/>
          <w:left w:val="nil"/>
          <w:bottom w:val="nil"/>
          <w:right w:val="nil"/>
          <w:between w:val="nil"/>
        </w:pBdr>
        <w:spacing w:before="6" w:line="240" w:lineRule="auto"/>
        <w:ind w:left="3"/>
        <w:rPr>
          <w:rFonts w:ascii="Verdana" w:eastAsia="Verdana" w:hAnsi="Verdana" w:cs="Verdana"/>
          <w:color w:val="231F20"/>
          <w:sz w:val="19"/>
          <w:szCs w:val="19"/>
        </w:rPr>
      </w:pPr>
      <w:r>
        <w:rPr>
          <w:rFonts w:ascii="Verdana" w:eastAsia="Verdana" w:hAnsi="Verdana" w:cs="Verdana"/>
          <w:color w:val="231F20"/>
          <w:sz w:val="19"/>
          <w:szCs w:val="19"/>
        </w:rPr>
        <w:t xml:space="preserve">A - PARTICIPATIONS AU CONSEIL D’ADMINISTRATION  </w:t>
      </w:r>
    </w:p>
    <w:p>
      <w:pPr>
        <w:widowControl w:val="0"/>
        <w:pBdr>
          <w:top w:val="nil"/>
          <w:left w:val="nil"/>
          <w:bottom w:val="nil"/>
          <w:right w:val="nil"/>
          <w:between w:val="nil"/>
        </w:pBdr>
        <w:spacing w:before="6" w:line="240" w:lineRule="auto"/>
        <w:ind w:left="1"/>
        <w:rPr>
          <w:rFonts w:ascii="Verdana" w:eastAsia="Verdana" w:hAnsi="Verdana" w:cs="Verdana"/>
          <w:color w:val="231F20"/>
          <w:sz w:val="19"/>
          <w:szCs w:val="19"/>
        </w:rPr>
      </w:pPr>
      <w:r>
        <w:rPr>
          <w:rFonts w:ascii="Verdana" w:eastAsia="Verdana" w:hAnsi="Verdana" w:cs="Verdana"/>
          <w:color w:val="231F20"/>
          <w:sz w:val="19"/>
          <w:szCs w:val="19"/>
        </w:rPr>
        <w:t xml:space="preserve"> - Frais de transports en commun </w:t>
      </w:r>
    </w:p>
    <w:p>
      <w:pPr>
        <w:widowControl w:val="0"/>
        <w:pBdr>
          <w:top w:val="nil"/>
          <w:left w:val="nil"/>
          <w:bottom w:val="nil"/>
          <w:right w:val="nil"/>
          <w:between w:val="nil"/>
        </w:pBdr>
        <w:spacing w:before="6" w:line="240" w:lineRule="auto"/>
        <w:ind w:left="1"/>
        <w:rPr>
          <w:rFonts w:ascii="Verdana" w:eastAsia="Verdana" w:hAnsi="Verdana" w:cs="Verdana"/>
          <w:color w:val="231F20"/>
          <w:sz w:val="19"/>
          <w:szCs w:val="19"/>
        </w:rPr>
      </w:pPr>
      <w:r>
        <w:rPr>
          <w:rFonts w:ascii="Verdana" w:eastAsia="Verdana" w:hAnsi="Verdana" w:cs="Verdana"/>
          <w:color w:val="231F20"/>
          <w:sz w:val="19"/>
          <w:szCs w:val="19"/>
        </w:rPr>
        <w:t xml:space="preserve"> - Indemnité kilométrique avec justificatif type « via Michelin » </w:t>
      </w:r>
    </w:p>
    <w:p>
      <w:pPr>
        <w:widowControl w:val="0"/>
        <w:pBdr>
          <w:top w:val="nil"/>
          <w:left w:val="nil"/>
          <w:bottom w:val="nil"/>
          <w:right w:val="nil"/>
          <w:between w:val="nil"/>
        </w:pBdr>
        <w:spacing w:before="6" w:line="240" w:lineRule="auto"/>
        <w:ind w:left="1"/>
        <w:rPr>
          <w:rFonts w:ascii="Verdana" w:eastAsia="Verdana" w:hAnsi="Verdana" w:cs="Verdana"/>
          <w:color w:val="231F20"/>
          <w:sz w:val="19"/>
          <w:szCs w:val="19"/>
        </w:rPr>
      </w:pPr>
      <w:r>
        <w:rPr>
          <w:rFonts w:ascii="Verdana" w:eastAsia="Verdana" w:hAnsi="Verdana" w:cs="Verdana"/>
          <w:color w:val="231F20"/>
          <w:sz w:val="19"/>
          <w:szCs w:val="19"/>
        </w:rPr>
        <w:t xml:space="preserve"> - Frais de péage </w:t>
      </w:r>
    </w:p>
    <w:p>
      <w:pPr>
        <w:widowControl w:val="0"/>
        <w:pBdr>
          <w:top w:val="nil"/>
          <w:left w:val="nil"/>
          <w:bottom w:val="nil"/>
          <w:right w:val="nil"/>
          <w:between w:val="nil"/>
        </w:pBdr>
        <w:spacing w:before="6" w:line="240" w:lineRule="auto"/>
        <w:ind w:left="1"/>
        <w:rPr>
          <w:rFonts w:ascii="Verdana" w:eastAsia="Verdana" w:hAnsi="Verdana" w:cs="Verdana"/>
          <w:color w:val="231F20"/>
          <w:sz w:val="19"/>
          <w:szCs w:val="19"/>
        </w:rPr>
      </w:pPr>
      <w:r>
        <w:rPr>
          <w:rFonts w:ascii="Verdana" w:eastAsia="Verdana" w:hAnsi="Verdana" w:cs="Verdana"/>
          <w:color w:val="231F20"/>
          <w:sz w:val="19"/>
          <w:szCs w:val="19"/>
        </w:rPr>
        <w:t xml:space="preserve"> Voir les barèmes en fin de document dans le paragraphe « Dispositions communes ».  </w:t>
      </w:r>
    </w:p>
    <w:p>
      <w:pPr>
        <w:widowControl w:val="0"/>
        <w:pBdr>
          <w:top w:val="nil"/>
          <w:left w:val="nil"/>
          <w:bottom w:val="nil"/>
          <w:right w:val="nil"/>
          <w:between w:val="nil"/>
        </w:pBdr>
        <w:spacing w:before="239" w:line="240" w:lineRule="auto"/>
        <w:ind w:left="20"/>
        <w:rPr>
          <w:rFonts w:ascii="Verdana" w:eastAsia="Verdana" w:hAnsi="Verdana" w:cs="Verdana"/>
          <w:color w:val="231F20"/>
          <w:sz w:val="19"/>
          <w:szCs w:val="19"/>
        </w:rPr>
      </w:pPr>
      <w:r>
        <w:rPr>
          <w:rFonts w:ascii="Verdana" w:eastAsia="Verdana" w:hAnsi="Verdana" w:cs="Verdana"/>
          <w:color w:val="231F20"/>
          <w:sz w:val="19"/>
          <w:szCs w:val="19"/>
        </w:rPr>
        <w:t xml:space="preserve">B - MISSIONS DES DÉLÉGUÉS RÉGIONAUX  </w:t>
      </w:r>
    </w:p>
    <w:p>
      <w:pPr>
        <w:widowControl w:val="0"/>
        <w:pBdr>
          <w:top w:val="nil"/>
          <w:left w:val="nil"/>
          <w:bottom w:val="nil"/>
          <w:right w:val="nil"/>
          <w:between w:val="nil"/>
        </w:pBdr>
        <w:spacing w:before="6" w:line="239" w:lineRule="auto"/>
        <w:ind w:left="15" w:right="1740" w:firstLine="4"/>
        <w:rPr>
          <w:rFonts w:ascii="Verdana" w:eastAsia="Verdana" w:hAnsi="Verdana" w:cs="Verdana"/>
          <w:color w:val="231F20"/>
          <w:sz w:val="19"/>
          <w:szCs w:val="19"/>
        </w:rPr>
      </w:pPr>
      <w:r>
        <w:rPr>
          <w:rFonts w:ascii="Verdana" w:eastAsia="Verdana" w:hAnsi="Verdana" w:cs="Verdana"/>
          <w:color w:val="231F20"/>
          <w:sz w:val="19"/>
          <w:szCs w:val="19"/>
        </w:rPr>
        <w:t xml:space="preserve">Les frais suivants sont indemnisables dans la zone d’intervention du délégué régional : - Frais de transports en commun </w:t>
      </w:r>
    </w:p>
    <w:p>
      <w:pPr>
        <w:widowControl w:val="0"/>
        <w:pBdr>
          <w:top w:val="nil"/>
          <w:left w:val="nil"/>
          <w:bottom w:val="nil"/>
          <w:right w:val="nil"/>
          <w:between w:val="nil"/>
        </w:pBdr>
        <w:spacing w:before="6" w:line="240" w:lineRule="auto"/>
        <w:ind w:left="15"/>
        <w:rPr>
          <w:rFonts w:ascii="Verdana" w:eastAsia="Verdana" w:hAnsi="Verdana" w:cs="Verdana"/>
          <w:color w:val="231F20"/>
          <w:sz w:val="19"/>
          <w:szCs w:val="19"/>
        </w:rPr>
      </w:pPr>
      <w:r>
        <w:rPr>
          <w:rFonts w:ascii="Verdana" w:eastAsia="Verdana" w:hAnsi="Verdana" w:cs="Verdana"/>
          <w:color w:val="231F20"/>
          <w:sz w:val="19"/>
          <w:szCs w:val="19"/>
        </w:rPr>
        <w:t xml:space="preserve">- Indemnité kilométrique avec justificatif de type « via Michelin » </w:t>
      </w:r>
    </w:p>
    <w:p>
      <w:pPr>
        <w:widowControl w:val="0"/>
        <w:pBdr>
          <w:top w:val="nil"/>
          <w:left w:val="nil"/>
          <w:bottom w:val="nil"/>
          <w:right w:val="nil"/>
          <w:between w:val="nil"/>
        </w:pBdr>
        <w:spacing w:before="6" w:line="240" w:lineRule="auto"/>
        <w:ind w:left="15"/>
        <w:rPr>
          <w:rFonts w:ascii="Verdana" w:eastAsia="Verdana" w:hAnsi="Verdana" w:cs="Verdana"/>
          <w:color w:val="231F20"/>
          <w:sz w:val="19"/>
          <w:szCs w:val="19"/>
        </w:rPr>
      </w:pPr>
      <w:r>
        <w:rPr>
          <w:rFonts w:ascii="Verdana" w:eastAsia="Verdana" w:hAnsi="Verdana" w:cs="Verdana"/>
          <w:color w:val="231F20"/>
          <w:sz w:val="19"/>
          <w:szCs w:val="19"/>
        </w:rPr>
        <w:t xml:space="preserve">- Frais de péage </w:t>
      </w:r>
    </w:p>
    <w:p>
      <w:pPr>
        <w:widowControl w:val="0"/>
        <w:pBdr>
          <w:top w:val="nil"/>
          <w:left w:val="nil"/>
          <w:bottom w:val="nil"/>
          <w:right w:val="nil"/>
          <w:between w:val="nil"/>
        </w:pBdr>
        <w:spacing w:before="6" w:line="240" w:lineRule="auto"/>
        <w:ind w:left="15"/>
        <w:rPr>
          <w:rFonts w:ascii="Verdana" w:eastAsia="Verdana" w:hAnsi="Verdana" w:cs="Verdana"/>
          <w:color w:val="231F20"/>
          <w:sz w:val="19"/>
          <w:szCs w:val="19"/>
        </w:rPr>
      </w:pPr>
      <w:r>
        <w:rPr>
          <w:rFonts w:ascii="Verdana" w:eastAsia="Verdana" w:hAnsi="Verdana" w:cs="Verdana"/>
          <w:color w:val="231F20"/>
          <w:sz w:val="19"/>
          <w:szCs w:val="19"/>
        </w:rPr>
        <w:t xml:space="preserve">- Frais de papeterie et d’affranchissements  </w:t>
      </w:r>
    </w:p>
    <w:p>
      <w:pPr>
        <w:widowControl w:val="0"/>
        <w:pBdr>
          <w:top w:val="nil"/>
          <w:left w:val="nil"/>
          <w:bottom w:val="nil"/>
          <w:right w:val="nil"/>
          <w:between w:val="nil"/>
        </w:pBdr>
        <w:spacing w:before="239" w:line="240" w:lineRule="auto"/>
        <w:ind w:left="20"/>
        <w:rPr>
          <w:rFonts w:ascii="Verdana" w:eastAsia="Verdana" w:hAnsi="Verdana" w:cs="Verdana"/>
          <w:color w:val="231F20"/>
          <w:sz w:val="19"/>
          <w:szCs w:val="19"/>
        </w:rPr>
      </w:pPr>
      <w:r>
        <w:rPr>
          <w:rFonts w:ascii="Verdana" w:eastAsia="Verdana" w:hAnsi="Verdana" w:cs="Verdana"/>
          <w:color w:val="231F20"/>
          <w:sz w:val="19"/>
          <w:szCs w:val="19"/>
        </w:rPr>
        <w:t xml:space="preserve">Barèmes au paragraphe 3.C. </w:t>
      </w:r>
    </w:p>
    <w:p>
      <w:pPr>
        <w:widowControl w:val="0"/>
        <w:pBdr>
          <w:top w:val="nil"/>
          <w:left w:val="nil"/>
          <w:bottom w:val="nil"/>
          <w:right w:val="nil"/>
          <w:between w:val="nil"/>
        </w:pBdr>
        <w:spacing w:line="240" w:lineRule="auto"/>
        <w:ind w:left="12"/>
        <w:rPr>
          <w:rFonts w:ascii="Verdana" w:eastAsia="Verdana" w:hAnsi="Verdana" w:cs="Verdana"/>
          <w:color w:val="231F20"/>
          <w:sz w:val="19"/>
          <w:szCs w:val="19"/>
        </w:rPr>
      </w:pPr>
      <w:r>
        <w:rPr>
          <w:rFonts w:ascii="Verdana" w:eastAsia="Verdana" w:hAnsi="Verdana" w:cs="Verdana"/>
          <w:color w:val="231F20"/>
          <w:sz w:val="19"/>
          <w:szCs w:val="19"/>
        </w:rPr>
        <w:t xml:space="preserve">C - FRAIS DES BÉNÉVOLES DANS LES EXPOSITIONS  </w:t>
      </w:r>
    </w:p>
    <w:p>
      <w:pPr>
        <w:widowControl w:val="0"/>
        <w:pBdr>
          <w:top w:val="nil"/>
          <w:left w:val="nil"/>
          <w:bottom w:val="nil"/>
          <w:right w:val="nil"/>
          <w:between w:val="nil"/>
        </w:pBdr>
        <w:spacing w:before="6" w:line="239" w:lineRule="auto"/>
        <w:ind w:left="11" w:right="83" w:firstLine="2"/>
        <w:rPr>
          <w:rFonts w:ascii="Verdana" w:eastAsia="Verdana" w:hAnsi="Verdana" w:cs="Verdana"/>
          <w:color w:val="231F20"/>
          <w:sz w:val="19"/>
          <w:szCs w:val="19"/>
        </w:rPr>
      </w:pPr>
      <w:r>
        <w:rPr>
          <w:rFonts w:ascii="Verdana" w:eastAsia="Verdana" w:hAnsi="Verdana" w:cs="Verdana"/>
          <w:color w:val="231F20"/>
          <w:sz w:val="19"/>
          <w:szCs w:val="19"/>
        </w:rPr>
        <w:lastRenderedPageBreak/>
        <w:t xml:space="preserve">Il n’y a aucune indemnisation de frais puisque normalement la participation du Cercle du Zéro est subordonnée à la prise en charge par le club organisateur selon les cas suivants : </w:t>
      </w:r>
    </w:p>
    <w:p>
      <w:pPr>
        <w:widowControl w:val="0"/>
        <w:pBdr>
          <w:top w:val="nil"/>
          <w:left w:val="nil"/>
          <w:bottom w:val="nil"/>
          <w:right w:val="nil"/>
          <w:between w:val="nil"/>
        </w:pBdr>
        <w:spacing w:before="6" w:line="240" w:lineRule="auto"/>
        <w:ind w:left="20"/>
        <w:rPr>
          <w:rFonts w:ascii="Verdana" w:eastAsia="Verdana" w:hAnsi="Verdana" w:cs="Verdana"/>
          <w:color w:val="231F20"/>
          <w:sz w:val="19"/>
          <w:szCs w:val="19"/>
        </w:rPr>
      </w:pPr>
      <w:r>
        <w:rPr>
          <w:rFonts w:ascii="Verdana" w:eastAsia="Verdana" w:hAnsi="Verdana" w:cs="Verdana"/>
          <w:color w:val="231F20"/>
          <w:sz w:val="19"/>
          <w:szCs w:val="19"/>
        </w:rPr>
        <w:t xml:space="preserve">Frais de transports en commun  </w:t>
      </w:r>
    </w:p>
    <w:p>
      <w:pPr>
        <w:widowControl w:val="0"/>
        <w:pBdr>
          <w:top w:val="nil"/>
          <w:left w:val="nil"/>
          <w:bottom w:val="nil"/>
          <w:right w:val="nil"/>
          <w:between w:val="nil"/>
        </w:pBdr>
        <w:spacing w:before="6" w:line="240" w:lineRule="auto"/>
        <w:ind w:left="14"/>
        <w:rPr>
          <w:rFonts w:ascii="Verdana" w:eastAsia="Verdana" w:hAnsi="Verdana" w:cs="Verdana"/>
          <w:color w:val="231F20"/>
          <w:sz w:val="19"/>
          <w:szCs w:val="19"/>
        </w:rPr>
      </w:pPr>
      <w:r>
        <w:rPr>
          <w:rFonts w:ascii="Verdana" w:eastAsia="Verdana" w:hAnsi="Verdana" w:cs="Verdana"/>
          <w:color w:val="231F20"/>
          <w:sz w:val="19"/>
          <w:szCs w:val="19"/>
        </w:rPr>
        <w:t xml:space="preserve">Indemnité kilométrique avec justificatif type « via Michelin » </w:t>
      </w:r>
    </w:p>
    <w:p>
      <w:pPr>
        <w:widowControl w:val="0"/>
        <w:pBdr>
          <w:top w:val="nil"/>
          <w:left w:val="nil"/>
          <w:bottom w:val="nil"/>
          <w:right w:val="nil"/>
          <w:between w:val="nil"/>
        </w:pBdr>
        <w:spacing w:before="6" w:line="240" w:lineRule="auto"/>
        <w:ind w:left="20"/>
        <w:rPr>
          <w:rFonts w:ascii="Verdana" w:eastAsia="Verdana" w:hAnsi="Verdana" w:cs="Verdana"/>
          <w:color w:val="231F20"/>
          <w:sz w:val="19"/>
          <w:szCs w:val="19"/>
        </w:rPr>
      </w:pPr>
      <w:r>
        <w:rPr>
          <w:rFonts w:ascii="Verdana" w:eastAsia="Verdana" w:hAnsi="Verdana" w:cs="Verdana"/>
          <w:color w:val="231F20"/>
          <w:sz w:val="19"/>
          <w:szCs w:val="19"/>
        </w:rPr>
        <w:t xml:space="preserve">Frais de péage </w:t>
      </w:r>
    </w:p>
    <w:p>
      <w:pPr>
        <w:widowControl w:val="0"/>
        <w:pBdr>
          <w:top w:val="nil"/>
          <w:left w:val="nil"/>
          <w:bottom w:val="nil"/>
          <w:right w:val="nil"/>
          <w:between w:val="nil"/>
        </w:pBdr>
        <w:spacing w:before="239" w:line="240" w:lineRule="auto"/>
        <w:ind w:left="1"/>
        <w:rPr>
          <w:rFonts w:ascii="Verdana" w:eastAsia="Verdana" w:hAnsi="Verdana" w:cs="Verdana"/>
          <w:b/>
          <w:color w:val="231F20"/>
          <w:sz w:val="19"/>
          <w:szCs w:val="19"/>
        </w:rPr>
      </w:pPr>
      <w:r>
        <w:rPr>
          <w:rFonts w:ascii="Verdana" w:eastAsia="Verdana" w:hAnsi="Verdana" w:cs="Verdana"/>
          <w:color w:val="231F20"/>
          <w:sz w:val="19"/>
          <w:szCs w:val="19"/>
        </w:rPr>
        <w:t xml:space="preserve"> </w:t>
      </w:r>
      <w:r>
        <w:rPr>
          <w:rFonts w:ascii="Verdana" w:eastAsia="Verdana" w:hAnsi="Verdana" w:cs="Verdana"/>
          <w:b/>
          <w:color w:val="231F20"/>
          <w:sz w:val="19"/>
          <w:szCs w:val="19"/>
        </w:rPr>
        <w:t xml:space="preserve">HÉBERGEMENT  </w:t>
      </w:r>
    </w:p>
    <w:p>
      <w:pPr>
        <w:widowControl w:val="0"/>
        <w:pBdr>
          <w:top w:val="nil"/>
          <w:left w:val="nil"/>
          <w:bottom w:val="nil"/>
          <w:right w:val="nil"/>
          <w:between w:val="nil"/>
        </w:pBdr>
        <w:spacing w:before="6" w:line="239" w:lineRule="auto"/>
        <w:ind w:left="12" w:firstLine="8"/>
        <w:rPr>
          <w:rFonts w:ascii="Verdana" w:eastAsia="Verdana" w:hAnsi="Verdana" w:cs="Verdana"/>
          <w:color w:val="231F20"/>
          <w:sz w:val="19"/>
          <w:szCs w:val="19"/>
        </w:rPr>
      </w:pPr>
      <w:r>
        <w:rPr>
          <w:rFonts w:ascii="Verdana" w:eastAsia="Verdana" w:hAnsi="Verdana" w:cs="Verdana"/>
          <w:color w:val="231F20"/>
          <w:sz w:val="19"/>
          <w:szCs w:val="19"/>
        </w:rPr>
        <w:t xml:space="preserve">Dans certains cas, le Conseil d’Administration du Cercle du Zéro peut décider que la participation du  Cercle  </w:t>
      </w:r>
    </w:p>
    <w:p>
      <w:pPr>
        <w:widowControl w:val="0"/>
        <w:pBdr>
          <w:top w:val="nil"/>
          <w:left w:val="nil"/>
          <w:bottom w:val="nil"/>
          <w:right w:val="nil"/>
          <w:between w:val="nil"/>
        </w:pBdr>
        <w:spacing w:before="6" w:line="239" w:lineRule="auto"/>
        <w:ind w:left="11"/>
        <w:rPr>
          <w:rFonts w:ascii="Verdana" w:eastAsia="Verdana" w:hAnsi="Verdana" w:cs="Verdana"/>
          <w:color w:val="231F20"/>
          <w:sz w:val="19"/>
          <w:szCs w:val="19"/>
        </w:rPr>
      </w:pPr>
      <w:proofErr w:type="gramStart"/>
      <w:r>
        <w:rPr>
          <w:rFonts w:ascii="Verdana" w:eastAsia="Verdana" w:hAnsi="Verdana" w:cs="Verdana"/>
          <w:color w:val="231F20"/>
          <w:sz w:val="19"/>
          <w:szCs w:val="19"/>
        </w:rPr>
        <w:t>à</w:t>
      </w:r>
      <w:proofErr w:type="gramEnd"/>
      <w:r>
        <w:rPr>
          <w:rFonts w:ascii="Verdana" w:eastAsia="Verdana" w:hAnsi="Verdana" w:cs="Verdana"/>
          <w:color w:val="231F20"/>
          <w:sz w:val="19"/>
          <w:szCs w:val="19"/>
        </w:rPr>
        <w:t xml:space="preserve"> une manifestation peut être une plus-value pour l’activité et la représentativité du Cercle. Dans ce  cas,  </w:t>
      </w:r>
    </w:p>
    <w:p>
      <w:pPr>
        <w:widowControl w:val="0"/>
        <w:pBdr>
          <w:top w:val="nil"/>
          <w:left w:val="nil"/>
          <w:bottom w:val="nil"/>
          <w:right w:val="nil"/>
          <w:between w:val="nil"/>
        </w:pBdr>
        <w:spacing w:before="6" w:line="240" w:lineRule="auto"/>
        <w:ind w:left="11"/>
        <w:rPr>
          <w:rFonts w:ascii="Verdana" w:eastAsia="Verdana" w:hAnsi="Verdana" w:cs="Verdana"/>
          <w:color w:val="231F20"/>
          <w:sz w:val="19"/>
          <w:szCs w:val="19"/>
        </w:rPr>
      </w:pPr>
      <w:proofErr w:type="gramStart"/>
      <w:r>
        <w:rPr>
          <w:rFonts w:ascii="Verdana" w:eastAsia="Verdana" w:hAnsi="Verdana" w:cs="Verdana"/>
          <w:color w:val="231F20"/>
          <w:sz w:val="19"/>
          <w:szCs w:val="19"/>
        </w:rPr>
        <w:t>dans</w:t>
      </w:r>
      <w:proofErr w:type="gramEnd"/>
      <w:r>
        <w:rPr>
          <w:rFonts w:ascii="Verdana" w:eastAsia="Verdana" w:hAnsi="Verdana" w:cs="Verdana"/>
          <w:color w:val="231F20"/>
          <w:sz w:val="19"/>
          <w:szCs w:val="19"/>
        </w:rPr>
        <w:t xml:space="preserve"> la limite fixée par le CA, la prise en charge des frais peut être effectuée.  </w:t>
      </w:r>
    </w:p>
    <w:p>
      <w:pPr>
        <w:widowControl w:val="0"/>
        <w:pBdr>
          <w:top w:val="nil"/>
          <w:left w:val="nil"/>
          <w:bottom w:val="nil"/>
          <w:right w:val="nil"/>
          <w:between w:val="nil"/>
        </w:pBdr>
        <w:spacing w:before="6" w:line="240" w:lineRule="auto"/>
        <w:ind w:left="20"/>
        <w:rPr>
          <w:rFonts w:ascii="Verdana" w:eastAsia="Verdana" w:hAnsi="Verdana" w:cs="Verdana"/>
          <w:color w:val="231F20"/>
          <w:sz w:val="19"/>
          <w:szCs w:val="19"/>
        </w:rPr>
      </w:pPr>
      <w:r>
        <w:rPr>
          <w:rFonts w:ascii="Verdana" w:eastAsia="Verdana" w:hAnsi="Verdana" w:cs="Verdana"/>
          <w:color w:val="231F20"/>
          <w:sz w:val="19"/>
          <w:szCs w:val="19"/>
        </w:rPr>
        <w:t xml:space="preserve">Barèmes au paragraphe 3.C.  </w:t>
      </w:r>
    </w:p>
    <w:p>
      <w:pPr>
        <w:widowControl w:val="0"/>
        <w:pBdr>
          <w:top w:val="nil"/>
          <w:left w:val="nil"/>
          <w:bottom w:val="nil"/>
          <w:right w:val="nil"/>
          <w:between w:val="nil"/>
        </w:pBdr>
        <w:spacing w:before="239" w:line="240" w:lineRule="auto"/>
        <w:ind w:left="14"/>
        <w:rPr>
          <w:rFonts w:ascii="Verdana" w:eastAsia="Verdana" w:hAnsi="Verdana" w:cs="Verdana"/>
          <w:b/>
          <w:color w:val="231F20"/>
          <w:sz w:val="19"/>
          <w:szCs w:val="19"/>
        </w:rPr>
      </w:pPr>
      <w:r>
        <w:rPr>
          <w:rFonts w:ascii="Verdana" w:eastAsia="Verdana" w:hAnsi="Verdana" w:cs="Verdana"/>
          <w:b/>
          <w:color w:val="231F20"/>
          <w:sz w:val="19"/>
          <w:szCs w:val="19"/>
        </w:rPr>
        <w:t xml:space="preserve">3 - Modalités : </w:t>
      </w:r>
    </w:p>
    <w:p>
      <w:pPr>
        <w:widowControl w:val="0"/>
        <w:pBdr>
          <w:top w:val="nil"/>
          <w:left w:val="nil"/>
          <w:bottom w:val="nil"/>
          <w:right w:val="nil"/>
          <w:between w:val="nil"/>
        </w:pBdr>
        <w:spacing w:before="239" w:line="240" w:lineRule="auto"/>
        <w:ind w:left="20"/>
        <w:rPr>
          <w:rFonts w:ascii="Verdana" w:eastAsia="Verdana" w:hAnsi="Verdana" w:cs="Verdana"/>
          <w:color w:val="231F20"/>
          <w:sz w:val="19"/>
          <w:szCs w:val="19"/>
        </w:rPr>
      </w:pPr>
      <w:r>
        <w:rPr>
          <w:rFonts w:ascii="Verdana" w:eastAsia="Verdana" w:hAnsi="Verdana" w:cs="Verdana"/>
          <w:color w:val="231F20"/>
          <w:sz w:val="19"/>
          <w:szCs w:val="19"/>
        </w:rPr>
        <w:t xml:space="preserve">DEUX MOYENS ADMINISTRATIFS SONT DISPONIBLES :  </w:t>
      </w:r>
    </w:p>
    <w:p>
      <w:pPr>
        <w:widowControl w:val="0"/>
        <w:pBdr>
          <w:top w:val="nil"/>
          <w:left w:val="nil"/>
          <w:bottom w:val="nil"/>
          <w:right w:val="nil"/>
          <w:between w:val="nil"/>
        </w:pBdr>
        <w:spacing w:before="239" w:line="240" w:lineRule="auto"/>
        <w:ind w:left="3"/>
        <w:rPr>
          <w:rFonts w:ascii="Verdana" w:eastAsia="Verdana" w:hAnsi="Verdana" w:cs="Verdana"/>
          <w:b/>
          <w:color w:val="231F20"/>
          <w:sz w:val="19"/>
          <w:szCs w:val="19"/>
        </w:rPr>
      </w:pPr>
      <w:proofErr w:type="gramStart"/>
      <w:r>
        <w:rPr>
          <w:rFonts w:ascii="Verdana" w:eastAsia="Verdana" w:hAnsi="Verdana" w:cs="Verdana"/>
          <w:b/>
          <w:color w:val="231F20"/>
          <w:sz w:val="19"/>
          <w:szCs w:val="19"/>
        </w:rPr>
        <w:t>A -</w:t>
      </w:r>
      <w:proofErr w:type="gramEnd"/>
      <w:r>
        <w:rPr>
          <w:rFonts w:ascii="Verdana" w:eastAsia="Verdana" w:hAnsi="Verdana" w:cs="Verdana"/>
          <w:b/>
          <w:color w:val="231F20"/>
          <w:sz w:val="19"/>
          <w:szCs w:val="19"/>
        </w:rPr>
        <w:t xml:space="preserve"> LA NOTE DE FRAIS  </w:t>
      </w:r>
    </w:p>
    <w:p>
      <w:pPr>
        <w:widowControl w:val="0"/>
        <w:pBdr>
          <w:top w:val="nil"/>
          <w:left w:val="nil"/>
          <w:bottom w:val="nil"/>
          <w:right w:val="nil"/>
          <w:between w:val="nil"/>
        </w:pBdr>
        <w:spacing w:before="6" w:line="240" w:lineRule="auto"/>
        <w:ind w:left="13"/>
        <w:rPr>
          <w:rFonts w:ascii="Verdana" w:eastAsia="Verdana" w:hAnsi="Verdana" w:cs="Verdana"/>
          <w:color w:val="231F20"/>
          <w:sz w:val="19"/>
          <w:szCs w:val="19"/>
        </w:rPr>
      </w:pPr>
      <w:r>
        <w:rPr>
          <w:rFonts w:ascii="Verdana" w:eastAsia="Verdana" w:hAnsi="Verdana" w:cs="Verdana"/>
          <w:color w:val="231F20"/>
          <w:sz w:val="19"/>
          <w:szCs w:val="19"/>
        </w:rPr>
        <w:t xml:space="preserve">Seuls les frais réellement engagés peuvent donner lieu à remboursement. </w:t>
      </w:r>
    </w:p>
    <w:p>
      <w:pPr>
        <w:widowControl w:val="0"/>
        <w:pBdr>
          <w:top w:val="nil"/>
          <w:left w:val="nil"/>
          <w:bottom w:val="nil"/>
          <w:right w:val="nil"/>
          <w:between w:val="nil"/>
        </w:pBdr>
        <w:spacing w:before="6" w:line="240" w:lineRule="auto"/>
        <w:ind w:left="1"/>
        <w:rPr>
          <w:rFonts w:ascii="Verdana" w:eastAsia="Verdana" w:hAnsi="Verdana" w:cs="Verdana"/>
          <w:color w:val="231F20"/>
          <w:sz w:val="19"/>
          <w:szCs w:val="19"/>
        </w:rPr>
      </w:pPr>
      <w:r>
        <w:rPr>
          <w:rFonts w:ascii="Verdana" w:eastAsia="Verdana" w:hAnsi="Verdana" w:cs="Verdana"/>
          <w:color w:val="231F20"/>
          <w:sz w:val="19"/>
          <w:szCs w:val="19"/>
        </w:rPr>
        <w:t xml:space="preserve"> La note de frais permet : </w:t>
      </w:r>
    </w:p>
    <w:p>
      <w:pPr>
        <w:widowControl w:val="0"/>
        <w:pBdr>
          <w:top w:val="nil"/>
          <w:left w:val="nil"/>
          <w:bottom w:val="nil"/>
          <w:right w:val="nil"/>
          <w:between w:val="nil"/>
        </w:pBdr>
        <w:spacing w:before="6" w:line="240" w:lineRule="auto"/>
        <w:ind w:left="15"/>
        <w:rPr>
          <w:rFonts w:ascii="Verdana" w:eastAsia="Verdana" w:hAnsi="Verdana" w:cs="Verdana"/>
          <w:color w:val="231F20"/>
          <w:sz w:val="19"/>
          <w:szCs w:val="19"/>
        </w:rPr>
      </w:pPr>
      <w:r>
        <w:rPr>
          <w:rFonts w:ascii="Verdana" w:eastAsia="Verdana" w:hAnsi="Verdana" w:cs="Verdana"/>
          <w:color w:val="231F20"/>
          <w:sz w:val="19"/>
          <w:szCs w:val="19"/>
        </w:rPr>
        <w:t xml:space="preserve">- de rembourser les frais de péages </w:t>
      </w:r>
    </w:p>
    <w:p>
      <w:pPr>
        <w:widowControl w:val="0"/>
        <w:pBdr>
          <w:top w:val="nil"/>
          <w:left w:val="nil"/>
          <w:bottom w:val="nil"/>
          <w:right w:val="nil"/>
          <w:between w:val="nil"/>
        </w:pBdr>
        <w:spacing w:before="6" w:line="240" w:lineRule="auto"/>
        <w:ind w:left="15"/>
        <w:rPr>
          <w:rFonts w:ascii="Verdana" w:eastAsia="Verdana" w:hAnsi="Verdana" w:cs="Verdana"/>
          <w:color w:val="231F20"/>
          <w:sz w:val="19"/>
          <w:szCs w:val="19"/>
        </w:rPr>
      </w:pPr>
      <w:r>
        <w:rPr>
          <w:rFonts w:ascii="Verdana" w:eastAsia="Verdana" w:hAnsi="Verdana" w:cs="Verdana"/>
          <w:color w:val="231F20"/>
          <w:sz w:val="19"/>
          <w:szCs w:val="19"/>
        </w:rPr>
        <w:t xml:space="preserve">- de rembourser les frais de transports en commun. </w:t>
      </w:r>
    </w:p>
    <w:p>
      <w:pPr>
        <w:widowControl w:val="0"/>
        <w:pBdr>
          <w:top w:val="nil"/>
          <w:left w:val="nil"/>
          <w:bottom w:val="nil"/>
          <w:right w:val="nil"/>
          <w:between w:val="nil"/>
        </w:pBdr>
        <w:spacing w:before="6" w:line="240" w:lineRule="auto"/>
        <w:ind w:left="15"/>
        <w:rPr>
          <w:rFonts w:ascii="Verdana" w:eastAsia="Verdana" w:hAnsi="Verdana" w:cs="Verdana"/>
          <w:color w:val="231F20"/>
          <w:sz w:val="19"/>
          <w:szCs w:val="19"/>
        </w:rPr>
      </w:pPr>
      <w:r>
        <w:rPr>
          <w:rFonts w:ascii="Verdana" w:eastAsia="Verdana" w:hAnsi="Verdana" w:cs="Verdana"/>
          <w:color w:val="231F20"/>
          <w:sz w:val="19"/>
          <w:szCs w:val="19"/>
        </w:rPr>
        <w:t xml:space="preserve">- de rembourser les frais de papeterie et d’affranchissements </w:t>
      </w:r>
    </w:p>
    <w:p>
      <w:pPr>
        <w:widowControl w:val="0"/>
        <w:pBdr>
          <w:top w:val="nil"/>
          <w:left w:val="nil"/>
          <w:bottom w:val="nil"/>
          <w:right w:val="nil"/>
          <w:between w:val="nil"/>
        </w:pBdr>
        <w:spacing w:before="6" w:line="240" w:lineRule="auto"/>
        <w:ind w:left="15"/>
        <w:rPr>
          <w:rFonts w:ascii="Verdana" w:eastAsia="Verdana" w:hAnsi="Verdana" w:cs="Verdana"/>
          <w:color w:val="231F20"/>
          <w:sz w:val="19"/>
          <w:szCs w:val="19"/>
        </w:rPr>
      </w:pPr>
      <w:r>
        <w:rPr>
          <w:rFonts w:ascii="Verdana" w:eastAsia="Verdana" w:hAnsi="Verdana" w:cs="Verdana"/>
          <w:color w:val="231F20"/>
          <w:sz w:val="19"/>
          <w:szCs w:val="19"/>
        </w:rPr>
        <w:t xml:space="preserve">- de rembourser d’autres frais après accord du conseil d’administration </w:t>
      </w:r>
    </w:p>
    <w:p>
      <w:pPr>
        <w:widowControl w:val="0"/>
        <w:pBdr>
          <w:top w:val="nil"/>
          <w:left w:val="nil"/>
          <w:bottom w:val="nil"/>
          <w:right w:val="nil"/>
          <w:between w:val="nil"/>
        </w:pBdr>
        <w:spacing w:before="6" w:line="239" w:lineRule="auto"/>
        <w:ind w:left="7" w:firstLine="8"/>
        <w:rPr>
          <w:rFonts w:ascii="Verdana" w:eastAsia="Verdana" w:hAnsi="Verdana" w:cs="Verdana"/>
          <w:color w:val="231F20"/>
          <w:sz w:val="19"/>
          <w:szCs w:val="19"/>
        </w:rPr>
      </w:pPr>
      <w:r>
        <w:rPr>
          <w:rFonts w:ascii="Verdana" w:eastAsia="Verdana" w:hAnsi="Verdana" w:cs="Verdana"/>
          <w:color w:val="231F20"/>
          <w:sz w:val="19"/>
          <w:szCs w:val="19"/>
        </w:rPr>
        <w:t xml:space="preserve">- de rembourser des frais d’hébergement ou de repas exceptionnellement après accord - de payer une indemnité kilométrique sur la base de justificatif de type « via Michelin »  Dans tous les cas, le Cercle du Zéro se réserve le droit de refuser ou de limiter un remboursement de  frais de  </w:t>
      </w:r>
    </w:p>
    <w:p>
      <w:pPr>
        <w:widowControl w:val="0"/>
        <w:pBdr>
          <w:top w:val="nil"/>
          <w:left w:val="nil"/>
          <w:bottom w:val="nil"/>
          <w:right w:val="nil"/>
          <w:between w:val="nil"/>
        </w:pBdr>
        <w:spacing w:before="6" w:line="240" w:lineRule="auto"/>
        <w:ind w:left="6"/>
        <w:rPr>
          <w:rFonts w:ascii="Verdana" w:eastAsia="Verdana" w:hAnsi="Verdana" w:cs="Verdana"/>
          <w:color w:val="231F20"/>
          <w:sz w:val="19"/>
          <w:szCs w:val="19"/>
        </w:rPr>
      </w:pPr>
      <w:proofErr w:type="gramStart"/>
      <w:r>
        <w:rPr>
          <w:rFonts w:ascii="Verdana" w:eastAsia="Verdana" w:hAnsi="Verdana" w:cs="Verdana"/>
          <w:color w:val="231F20"/>
          <w:sz w:val="19"/>
          <w:szCs w:val="19"/>
        </w:rPr>
        <w:t>transport</w:t>
      </w:r>
      <w:proofErr w:type="gramEnd"/>
      <w:r>
        <w:rPr>
          <w:rFonts w:ascii="Verdana" w:eastAsia="Verdana" w:hAnsi="Verdana" w:cs="Verdana"/>
          <w:color w:val="231F20"/>
          <w:sz w:val="19"/>
          <w:szCs w:val="19"/>
        </w:rPr>
        <w:t xml:space="preserve"> qui aurait pu être fait à meilleur coût.  </w:t>
      </w:r>
    </w:p>
    <w:p>
      <w:pPr>
        <w:widowControl w:val="0"/>
        <w:pBdr>
          <w:top w:val="nil"/>
          <w:left w:val="nil"/>
          <w:bottom w:val="nil"/>
          <w:right w:val="nil"/>
          <w:between w:val="nil"/>
        </w:pBdr>
        <w:spacing w:before="239" w:line="240" w:lineRule="auto"/>
        <w:ind w:left="19"/>
        <w:rPr>
          <w:rFonts w:ascii="Verdana" w:eastAsia="Verdana" w:hAnsi="Verdana" w:cs="Verdana"/>
          <w:b/>
          <w:color w:val="231F20"/>
          <w:sz w:val="19"/>
          <w:szCs w:val="19"/>
        </w:rPr>
      </w:pPr>
      <w:r>
        <w:rPr>
          <w:rFonts w:ascii="Verdana" w:eastAsia="Verdana" w:hAnsi="Verdana" w:cs="Verdana"/>
          <w:b/>
          <w:color w:val="231F20"/>
          <w:sz w:val="19"/>
          <w:szCs w:val="19"/>
        </w:rPr>
        <w:t xml:space="preserve">B - LA CONTRIBUTION VOLONTAIRE  </w:t>
      </w:r>
    </w:p>
    <w:p>
      <w:pPr>
        <w:widowControl w:val="0"/>
        <w:pBdr>
          <w:top w:val="nil"/>
          <w:left w:val="nil"/>
          <w:bottom w:val="nil"/>
          <w:right w:val="nil"/>
          <w:between w:val="nil"/>
        </w:pBdr>
        <w:spacing w:before="6" w:line="239" w:lineRule="auto"/>
        <w:ind w:left="18" w:hanging="4"/>
        <w:jc w:val="both"/>
        <w:rPr>
          <w:rFonts w:ascii="Verdana" w:eastAsia="Verdana" w:hAnsi="Verdana" w:cs="Verdana"/>
          <w:color w:val="231F20"/>
          <w:sz w:val="19"/>
          <w:szCs w:val="19"/>
        </w:rPr>
      </w:pPr>
      <w:r>
        <w:rPr>
          <w:rFonts w:ascii="Verdana" w:eastAsia="Verdana" w:hAnsi="Verdana" w:cs="Verdana"/>
          <w:color w:val="231F20"/>
          <w:sz w:val="19"/>
          <w:szCs w:val="19"/>
        </w:rPr>
        <w:t xml:space="preserve">S’il est soumis à l’imposition sur le revenu et s’il le désire, le missionné peut utiliser la démarche de  la contribution volontaire pour se faire indemniser. La nature des frais indemnisés est similaire à celle  prise en compte dans la note de frais. Étant donné que le bénéficiaire supporte une partie des frais engagés,  il est toléré d’engager des frais en ne prenant pas en priorité le critère économique en compte, sous réserve de rester dans des dépenses raisonnables. Pour avoir le droit d’effectuer cette déduction le Cercle  du Zéro délivrera un reçu fiscal en échange du récapitulatif des dépenses et du certificat d’abandon de  créance. Comme pour les notes de frais il faudra y joindre les justificatifs  </w:t>
      </w:r>
    </w:p>
    <w:p>
      <w:pPr>
        <w:widowControl w:val="0"/>
        <w:pBdr>
          <w:top w:val="nil"/>
          <w:left w:val="nil"/>
          <w:bottom w:val="nil"/>
          <w:right w:val="nil"/>
          <w:between w:val="nil"/>
        </w:pBdr>
        <w:spacing w:before="6" w:line="240" w:lineRule="auto"/>
        <w:ind w:left="20"/>
        <w:rPr>
          <w:rFonts w:ascii="Verdana" w:eastAsia="Verdana" w:hAnsi="Verdana" w:cs="Verdana"/>
          <w:color w:val="231F20"/>
          <w:sz w:val="19"/>
          <w:szCs w:val="19"/>
        </w:rPr>
      </w:pPr>
    </w:p>
    <w:p>
      <w:pPr>
        <w:widowControl w:val="0"/>
        <w:pBdr>
          <w:top w:val="nil"/>
          <w:left w:val="nil"/>
          <w:bottom w:val="nil"/>
          <w:right w:val="nil"/>
          <w:between w:val="nil"/>
        </w:pBdr>
        <w:spacing w:before="6" w:line="240" w:lineRule="auto"/>
        <w:ind w:left="20"/>
        <w:rPr>
          <w:rFonts w:ascii="Verdana" w:eastAsia="Verdana" w:hAnsi="Verdana" w:cs="Verdana"/>
          <w:color w:val="231F20"/>
          <w:sz w:val="19"/>
          <w:szCs w:val="19"/>
        </w:rPr>
      </w:pPr>
      <w:r>
        <w:rPr>
          <w:rFonts w:ascii="Verdana" w:eastAsia="Verdana" w:hAnsi="Verdana" w:cs="Verdana"/>
          <w:color w:val="231F20"/>
          <w:sz w:val="19"/>
          <w:szCs w:val="19"/>
        </w:rPr>
        <w:t xml:space="preserve">Pratiquement vous devrez fournir au trésorier :  </w:t>
      </w:r>
    </w:p>
    <w:p>
      <w:pPr>
        <w:widowControl w:val="0"/>
        <w:pBdr>
          <w:top w:val="nil"/>
          <w:left w:val="nil"/>
          <w:bottom w:val="nil"/>
          <w:right w:val="nil"/>
          <w:between w:val="nil"/>
        </w:pBdr>
        <w:spacing w:before="6" w:line="239" w:lineRule="auto"/>
        <w:ind w:left="11" w:firstLine="8"/>
        <w:rPr>
          <w:rFonts w:ascii="Verdana" w:eastAsia="Verdana" w:hAnsi="Verdana" w:cs="Verdana"/>
          <w:color w:val="231F20"/>
          <w:sz w:val="19"/>
          <w:szCs w:val="19"/>
        </w:rPr>
      </w:pPr>
      <w:r>
        <w:rPr>
          <w:rFonts w:ascii="Verdana" w:eastAsia="Verdana" w:hAnsi="Verdana" w:cs="Verdana"/>
          <w:color w:val="231F20"/>
          <w:sz w:val="19"/>
          <w:szCs w:val="19"/>
        </w:rPr>
        <w:t xml:space="preserve">Le formulaire « contributions volontaires » soigneusement rempli, daté et signé dans les deux endroits  ou ’est demandé </w:t>
      </w:r>
    </w:p>
    <w:p>
      <w:pPr>
        <w:widowControl w:val="0"/>
        <w:pBdr>
          <w:top w:val="nil"/>
          <w:left w:val="nil"/>
          <w:bottom w:val="nil"/>
          <w:right w:val="nil"/>
          <w:between w:val="nil"/>
        </w:pBdr>
        <w:spacing w:before="6" w:line="239" w:lineRule="auto"/>
        <w:ind w:left="3" w:firstLine="16"/>
        <w:rPr>
          <w:rFonts w:ascii="Verdana" w:eastAsia="Verdana" w:hAnsi="Verdana" w:cs="Verdana"/>
          <w:color w:val="231F20"/>
          <w:sz w:val="19"/>
          <w:szCs w:val="19"/>
        </w:rPr>
      </w:pPr>
      <w:r>
        <w:rPr>
          <w:rFonts w:ascii="Verdana" w:eastAsia="Verdana" w:hAnsi="Verdana" w:cs="Verdana"/>
          <w:color w:val="231F20"/>
          <w:sz w:val="19"/>
          <w:szCs w:val="19"/>
        </w:rPr>
        <w:t xml:space="preserve">Le relevé kilométrique des déplacements où chacun d’entre eux sera justifié par un itinéraire calculé par  Via Michelin ou autre calculateur présent sur Internet et joint comme pièce justificative*. Une photocopie de la carte grise du véhicule personnel* utilisé </w:t>
      </w:r>
    </w:p>
    <w:p>
      <w:pPr>
        <w:widowControl w:val="0"/>
        <w:pBdr>
          <w:top w:val="nil"/>
          <w:left w:val="nil"/>
          <w:bottom w:val="nil"/>
          <w:right w:val="nil"/>
          <w:between w:val="nil"/>
        </w:pBdr>
        <w:spacing w:before="6" w:line="240" w:lineRule="auto"/>
        <w:ind w:left="20"/>
        <w:rPr>
          <w:rFonts w:ascii="Verdana" w:eastAsia="Verdana" w:hAnsi="Verdana" w:cs="Verdana"/>
          <w:color w:val="231F20"/>
          <w:sz w:val="19"/>
          <w:szCs w:val="19"/>
        </w:rPr>
      </w:pPr>
      <w:r>
        <w:rPr>
          <w:rFonts w:ascii="Verdana" w:eastAsia="Verdana" w:hAnsi="Verdana" w:cs="Verdana"/>
          <w:color w:val="231F20"/>
          <w:sz w:val="19"/>
          <w:szCs w:val="19"/>
        </w:rPr>
        <w:t xml:space="preserve">Les justificatifs.  </w:t>
      </w:r>
    </w:p>
    <w:p>
      <w:pPr>
        <w:widowControl w:val="0"/>
        <w:pBdr>
          <w:top w:val="nil"/>
          <w:left w:val="nil"/>
          <w:bottom w:val="nil"/>
          <w:right w:val="nil"/>
          <w:between w:val="nil"/>
        </w:pBdr>
        <w:spacing w:before="6" w:line="240" w:lineRule="auto"/>
        <w:ind w:left="20"/>
        <w:rPr>
          <w:rFonts w:ascii="Verdana" w:eastAsia="Verdana" w:hAnsi="Verdana" w:cs="Verdana"/>
          <w:color w:val="231F20"/>
          <w:sz w:val="19"/>
          <w:szCs w:val="19"/>
        </w:rPr>
      </w:pPr>
      <w:r>
        <w:rPr>
          <w:rFonts w:ascii="Verdana" w:eastAsia="Verdana" w:hAnsi="Verdana" w:cs="Verdana"/>
          <w:color w:val="231F20"/>
          <w:sz w:val="19"/>
          <w:szCs w:val="19"/>
        </w:rPr>
        <w:t xml:space="preserve">Le barème fiscal s’applique et fixe l’indemnité de remboursement  </w:t>
      </w:r>
    </w:p>
    <w:p>
      <w:pPr>
        <w:widowControl w:val="0"/>
        <w:pBdr>
          <w:top w:val="nil"/>
          <w:left w:val="nil"/>
          <w:bottom w:val="nil"/>
          <w:right w:val="nil"/>
          <w:between w:val="nil"/>
        </w:pBdr>
        <w:spacing w:before="239" w:line="239" w:lineRule="auto"/>
        <w:ind w:left="16"/>
        <w:rPr>
          <w:rFonts w:ascii="Times New Roman" w:eastAsia="Times New Roman" w:hAnsi="Times New Roman" w:cs="Times New Roman"/>
          <w:color w:val="231F20"/>
          <w:sz w:val="23"/>
          <w:szCs w:val="23"/>
        </w:rPr>
      </w:pPr>
      <w:r>
        <w:rPr>
          <w:rFonts w:ascii="Verdana" w:eastAsia="Verdana" w:hAnsi="Verdana" w:cs="Verdana"/>
          <w:color w:val="231F20"/>
          <w:sz w:val="19"/>
          <w:szCs w:val="19"/>
        </w:rPr>
        <w:t xml:space="preserve">* ATTENTION : L’utilisation d’un véhicule dont la carte grise ne mentionne pas comme propriétaire l’auteur de la note de frais (ou un membre de son foyer fiscal) ne permet pas de contribution volontaire. Un véhicule professionnel ou prêté ou loué ne convient pas. Toutes ces pièces doivent être impérativement fournies  avant </w:t>
      </w:r>
      <w:r>
        <w:rPr>
          <w:rFonts w:ascii="Times New Roman" w:eastAsia="Times New Roman" w:hAnsi="Times New Roman" w:cs="Times New Roman"/>
          <w:color w:val="231F20"/>
          <w:sz w:val="23"/>
          <w:szCs w:val="23"/>
        </w:rPr>
        <w:t xml:space="preserve">le 31 décembre de l’année comptable. </w:t>
      </w:r>
    </w:p>
    <w:sectPr>
      <w:pgSz w:w="11900" w:h="16840"/>
      <w:pgMar w:top="892" w:right="796" w:bottom="1061" w:left="863"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4"/>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EBC826-1C3B-4032-97F1-1545380A5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fr-FR" w:eastAsia="fr-F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itre1">
    <w:name w:val="heading 1"/>
    <w:basedOn w:val="Normal"/>
    <w:next w:val="Normal"/>
    <w:pPr>
      <w:keepNext/>
      <w:keepLines/>
      <w:spacing w:before="480" w:after="120"/>
      <w:outlineLvl w:val="0"/>
    </w:pPr>
    <w:rPr>
      <w:b/>
      <w:sz w:val="48"/>
      <w:szCs w:val="48"/>
    </w:rPr>
  </w:style>
  <w:style w:type="paragraph" w:styleId="Titre2">
    <w:name w:val="heading 2"/>
    <w:basedOn w:val="Normal"/>
    <w:next w:val="Normal"/>
    <w:pPr>
      <w:keepNext/>
      <w:keepLines/>
      <w:spacing w:before="360" w:after="80"/>
      <w:outlineLvl w:val="1"/>
    </w:pPr>
    <w:rPr>
      <w:b/>
      <w:sz w:val="36"/>
      <w:szCs w:val="36"/>
    </w:rPr>
  </w:style>
  <w:style w:type="paragraph" w:styleId="Titre3">
    <w:name w:val="heading 3"/>
    <w:basedOn w:val="Normal"/>
    <w:next w:val="Normal"/>
    <w:pPr>
      <w:keepNext/>
      <w:keepLines/>
      <w:spacing w:before="280" w:after="80"/>
      <w:outlineLvl w:val="2"/>
    </w:pPr>
    <w:rPr>
      <w:b/>
      <w:sz w:val="28"/>
      <w:szCs w:val="28"/>
    </w:rPr>
  </w:style>
  <w:style w:type="paragraph" w:styleId="Titre4">
    <w:name w:val="heading 4"/>
    <w:basedOn w:val="Normal"/>
    <w:next w:val="Normal"/>
    <w:pPr>
      <w:keepNext/>
      <w:keepLines/>
      <w:spacing w:before="240" w:after="40"/>
      <w:outlineLvl w:val="3"/>
    </w:pPr>
    <w:rPr>
      <w:b/>
      <w:sz w:val="24"/>
      <w:szCs w:val="24"/>
    </w:rPr>
  </w:style>
  <w:style w:type="paragraph" w:styleId="Titre5">
    <w:name w:val="heading 5"/>
    <w:basedOn w:val="Normal"/>
    <w:next w:val="Normal"/>
    <w:pPr>
      <w:keepNext/>
      <w:keepLines/>
      <w:spacing w:before="220" w:after="40"/>
      <w:outlineLvl w:val="4"/>
    </w:pPr>
    <w:rPr>
      <w:b/>
    </w:rPr>
  </w:style>
  <w:style w:type="paragraph" w:styleId="Titre6">
    <w:name w:val="heading 6"/>
    <w:basedOn w:val="Normal"/>
    <w:next w:val="Normal"/>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keepNext/>
      <w:keepLines/>
      <w:spacing w:before="480" w:after="120"/>
    </w:pPr>
    <w:rPr>
      <w:b/>
      <w:sz w:val="72"/>
      <w:szCs w:val="72"/>
    </w:rPr>
  </w:style>
  <w:style w:type="paragraph" w:styleId="Sous-titr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1423</Words>
  <Characters>7830</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Bertrand RUMEAU</dc:creator>
  <cp:lastModifiedBy>Bruno Delahaye</cp:lastModifiedBy>
  <cp:revision>5</cp:revision>
  <dcterms:created xsi:type="dcterms:W3CDTF">2024-04-05T17:26:00Z</dcterms:created>
  <dcterms:modified xsi:type="dcterms:W3CDTF">2024-04-07T16:28:00Z</dcterms:modified>
</cp:coreProperties>
</file>